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36"/>
        <w:ind w:left="5320" w:right="320" w:firstLine="0"/>
      </w:pPr>
      <w:r>
        <w:rPr>
          <w:lang w:val="ru-RU" w:eastAsia="ru-RU" w:bidi="ru-RU"/>
          <w:w w:val="100"/>
          <w:spacing w:val="0"/>
          <w:color w:val="000000"/>
          <w:position w:val="0"/>
        </w:rPr>
        <w:t xml:space="preserve">ГБУ г. Москвы «Жилищник Алтуфьевского района» ул. Стандартная, д. 3, г. Москва, 127410, </w:t>
      </w:r>
      <w:r>
        <w:rPr>
          <w:lang w:val="en-US" w:eastAsia="en-US" w:bidi="en-US"/>
          <w:w w:val="100"/>
          <w:spacing w:val="0"/>
          <w:color w:val="000000"/>
          <w:position w:val="0"/>
        </w:rPr>
        <w:t xml:space="preserve">altuf.torgi@mail </w:t>
      </w:r>
      <w:r>
        <w:rPr>
          <w:lang w:val="ru-RU" w:eastAsia="ru-RU" w:bidi="ru-RU"/>
          <w:w w:val="100"/>
          <w:spacing w:val="0"/>
          <w:color w:val="000000"/>
          <w:position w:val="0"/>
        </w:rPr>
        <w:t>.</w:t>
      </w:r>
      <w:r>
        <w:rPr>
          <w:rStyle w:val="CharStyle7"/>
        </w:rPr>
        <w:t>га</w:t>
      </w:r>
    </w:p>
    <w:p>
      <w:pPr>
        <w:pStyle w:val="Style5"/>
        <w:widowControl w:val="0"/>
        <w:keepNext w:val="0"/>
        <w:keepLines w:val="0"/>
        <w:shd w:val="clear" w:color="auto" w:fill="auto"/>
        <w:bidi w:val="0"/>
        <w:jc w:val="both"/>
        <w:spacing w:before="0" w:after="0" w:line="326" w:lineRule="exact"/>
        <w:ind w:left="5320" w:right="1180" w:firstLine="0"/>
      </w:pPr>
      <w:r>
        <w:rPr>
          <w:lang w:val="ru-RU" w:eastAsia="ru-RU" w:bidi="ru-RU"/>
          <w:w w:val="100"/>
          <w:spacing w:val="0"/>
          <w:color w:val="000000"/>
          <w:position w:val="0"/>
        </w:rPr>
        <w:t>ГБУ «Жилищник Бабушкинского района»</w:t>
      </w:r>
    </w:p>
    <w:p>
      <w:pPr>
        <w:pStyle w:val="Style5"/>
        <w:widowControl w:val="0"/>
        <w:keepNext w:val="0"/>
        <w:keepLines w:val="0"/>
        <w:shd w:val="clear" w:color="auto" w:fill="auto"/>
        <w:bidi w:val="0"/>
        <w:jc w:val="left"/>
        <w:spacing w:before="0" w:after="244" w:line="326" w:lineRule="exact"/>
        <w:ind w:left="5320" w:right="320" w:firstLine="0"/>
      </w:pPr>
      <w:r>
        <w:rPr>
          <w:lang w:val="ru-RU" w:eastAsia="ru-RU" w:bidi="ru-RU"/>
          <w:w w:val="100"/>
          <w:spacing w:val="0"/>
          <w:color w:val="000000"/>
          <w:position w:val="0"/>
        </w:rPr>
        <w:t xml:space="preserve">ул. Печорская, д. 11, г. Москва, 129344, </w:t>
      </w:r>
      <w:r>
        <w:rPr>
          <w:lang w:val="en-US" w:eastAsia="en-US" w:bidi="en-US"/>
          <w:w w:val="100"/>
          <w:spacing w:val="0"/>
          <w:color w:val="000000"/>
          <w:position w:val="0"/>
        </w:rPr>
        <w:t>gbu_bsh@mail .ru</w:t>
      </w:r>
    </w:p>
    <w:p>
      <w:pPr>
        <w:pStyle w:val="Style5"/>
        <w:widowControl w:val="0"/>
        <w:keepNext w:val="0"/>
        <w:keepLines w:val="0"/>
        <w:shd w:val="clear" w:color="auto" w:fill="auto"/>
        <w:bidi w:val="0"/>
        <w:jc w:val="left"/>
        <w:spacing w:before="0" w:after="236"/>
        <w:ind w:left="5320" w:right="320" w:firstLine="0"/>
      </w:pPr>
      <w:r>
        <w:rPr>
          <w:lang w:val="ru-RU" w:eastAsia="ru-RU" w:bidi="ru-RU"/>
          <w:w w:val="100"/>
          <w:spacing w:val="0"/>
          <w:color w:val="000000"/>
          <w:position w:val="0"/>
        </w:rPr>
        <w:t xml:space="preserve">ГБУ «Жилищник района Свиблово» Берингов пр-д, д. 1, г. Москва, 129344, </w:t>
      </w:r>
      <w:r>
        <w:fldChar w:fldCharType="begin"/>
      </w:r>
      <w:r>
        <w:rPr>
          <w:color w:val="000000"/>
        </w:rPr>
        <w:instrText> HYPERLINK "mailto:1806616@mail.ru" </w:instrText>
      </w:r>
      <w:r>
        <w:fldChar w:fldCharType="separate"/>
      </w:r>
      <w:r>
        <w:rPr>
          <w:rStyle w:val="Hyperlink"/>
          <w:lang w:val="en-US" w:eastAsia="en-US" w:bidi="en-US"/>
          <w:w w:val="100"/>
          <w:spacing w:val="0"/>
          <w:position w:val="0"/>
        </w:rPr>
        <w:t>1806616@mail.ru</w:t>
      </w:r>
      <w:r>
        <w:fldChar w:fldCharType="end"/>
      </w:r>
    </w:p>
    <w:p>
      <w:pPr>
        <w:pStyle w:val="Style5"/>
        <w:widowControl w:val="0"/>
        <w:keepNext w:val="0"/>
        <w:keepLines w:val="0"/>
        <w:shd w:val="clear" w:color="auto" w:fill="auto"/>
        <w:bidi w:val="0"/>
        <w:jc w:val="left"/>
        <w:spacing w:before="0" w:after="0" w:line="326" w:lineRule="exact"/>
        <w:ind w:left="5320" w:right="320" w:firstLine="0"/>
      </w:pPr>
      <w:r>
        <w:rPr>
          <w:lang w:val="ru-RU" w:eastAsia="ru-RU" w:bidi="ru-RU"/>
          <w:w w:val="100"/>
          <w:spacing w:val="0"/>
          <w:color w:val="000000"/>
          <w:position w:val="0"/>
        </w:rPr>
        <w:t>ГБУ «Жилищник района Марьина Роща»</w:t>
      </w:r>
    </w:p>
    <w:p>
      <w:pPr>
        <w:pStyle w:val="Style5"/>
        <w:widowControl w:val="0"/>
        <w:keepNext w:val="0"/>
        <w:keepLines w:val="0"/>
        <w:shd w:val="clear" w:color="auto" w:fill="auto"/>
        <w:bidi w:val="0"/>
        <w:jc w:val="left"/>
        <w:spacing w:before="0" w:after="236"/>
        <w:ind w:left="5320" w:right="320" w:firstLine="0"/>
      </w:pPr>
      <w:r>
        <w:rPr>
          <w:lang w:val="ru-RU" w:eastAsia="ru-RU" w:bidi="ru-RU"/>
          <w:w w:val="100"/>
          <w:spacing w:val="0"/>
          <w:color w:val="000000"/>
          <w:position w:val="0"/>
        </w:rPr>
        <w:t xml:space="preserve">ул. Марьиной Рощи 3-я, д. 4, корп. 3, г. Москва, 129594, </w:t>
      </w:r>
      <w:r>
        <w:fldChar w:fldCharType="begin"/>
      </w:r>
      <w:r>
        <w:rPr>
          <w:color w:val="000000"/>
        </w:rPr>
        <w:instrText> HYPERLINK "mailto:torgi_mr@mail.ru" </w:instrText>
      </w:r>
      <w:r>
        <w:fldChar w:fldCharType="separate"/>
      </w:r>
      <w:r>
        <w:rPr>
          <w:rStyle w:val="Hyperlink"/>
          <w:lang w:val="en-US" w:eastAsia="en-US" w:bidi="en-US"/>
          <w:w w:val="100"/>
          <w:spacing w:val="0"/>
          <w:position w:val="0"/>
        </w:rPr>
        <w:t>torgi_mr@mail.ru</w:t>
      </w:r>
      <w:r>
        <w:fldChar w:fldCharType="end"/>
      </w:r>
    </w:p>
    <w:p>
      <w:pPr>
        <w:pStyle w:val="Style5"/>
        <w:widowControl w:val="0"/>
        <w:keepNext w:val="0"/>
        <w:keepLines w:val="0"/>
        <w:shd w:val="clear" w:color="auto" w:fill="auto"/>
        <w:bidi w:val="0"/>
        <w:jc w:val="both"/>
        <w:spacing w:before="0" w:after="0" w:line="326" w:lineRule="exact"/>
        <w:ind w:left="5320" w:right="1180" w:firstLine="0"/>
      </w:pPr>
      <w:r>
        <w:rPr>
          <w:lang w:val="ru-RU" w:eastAsia="ru-RU" w:bidi="ru-RU"/>
          <w:w w:val="100"/>
          <w:spacing w:val="0"/>
          <w:color w:val="000000"/>
          <w:position w:val="0"/>
        </w:rPr>
        <w:t>ГБУ «Жилищник района Южное Медведково»</w:t>
      </w:r>
    </w:p>
    <w:p>
      <w:pPr>
        <w:pStyle w:val="Style5"/>
        <w:widowControl w:val="0"/>
        <w:keepNext w:val="0"/>
        <w:keepLines w:val="0"/>
        <w:shd w:val="clear" w:color="auto" w:fill="auto"/>
        <w:bidi w:val="0"/>
        <w:jc w:val="left"/>
        <w:spacing w:before="0" w:after="244" w:line="326" w:lineRule="exact"/>
        <w:ind w:left="5320" w:right="320" w:firstLine="0"/>
      </w:pPr>
      <w:r>
        <w:rPr>
          <w:lang w:val="ru-RU" w:eastAsia="ru-RU" w:bidi="ru-RU"/>
          <w:w w:val="100"/>
          <w:spacing w:val="0"/>
          <w:color w:val="000000"/>
          <w:position w:val="0"/>
        </w:rPr>
        <w:t xml:space="preserve">ул. Молодцова, д. 9, г. Москва, 127221, </w:t>
      </w:r>
      <w:r>
        <w:fldChar w:fldCharType="begin"/>
      </w:r>
      <w:r>
        <w:rPr>
          <w:color w:val="000000"/>
        </w:rPr>
        <w:instrText> HYPERLINK "mailto:torgi.s-m@mail.ru" </w:instrText>
      </w:r>
      <w:r>
        <w:fldChar w:fldCharType="separate"/>
      </w:r>
      <w:r>
        <w:rPr>
          <w:rStyle w:val="Hyperlink"/>
          <w:lang w:val="en-US" w:eastAsia="en-US" w:bidi="en-US"/>
          <w:w w:val="100"/>
          <w:spacing w:val="0"/>
          <w:position w:val="0"/>
        </w:rPr>
        <w:t>torgi.s-m@mail.ru</w:t>
      </w:r>
      <w:r>
        <w:fldChar w:fldCharType="end"/>
      </w:r>
    </w:p>
    <w:p>
      <w:pPr>
        <w:pStyle w:val="Style5"/>
        <w:widowControl w:val="0"/>
        <w:keepNext w:val="0"/>
        <w:keepLines w:val="0"/>
        <w:shd w:val="clear" w:color="auto" w:fill="auto"/>
        <w:bidi w:val="0"/>
        <w:jc w:val="both"/>
        <w:spacing w:before="0" w:after="244"/>
        <w:ind w:left="5320" w:right="1180" w:firstLine="0"/>
      </w:pPr>
      <w:r>
        <w:rPr>
          <w:lang w:val="ru-RU" w:eastAsia="ru-RU" w:bidi="ru-RU"/>
          <w:w w:val="100"/>
          <w:spacing w:val="0"/>
          <w:color w:val="000000"/>
          <w:position w:val="0"/>
        </w:rPr>
        <w:t xml:space="preserve">ГКУ «Дирекция ЖКХиБ СВАО» ул. Милашенкова, д.14, г. Москва, 127322, </w:t>
      </w:r>
      <w:r>
        <w:fldChar w:fldCharType="begin"/>
      </w:r>
      <w:r>
        <w:rPr>
          <w:color w:val="000000"/>
        </w:rPr>
        <w:instrText> HYPERLINK "mailto:zakupkisvao@mail.ru" </w:instrText>
      </w:r>
      <w:r>
        <w:fldChar w:fldCharType="separate"/>
      </w:r>
      <w:r>
        <w:rPr>
          <w:rStyle w:val="Hyperlink"/>
          <w:lang w:val="en-US" w:eastAsia="en-US" w:bidi="en-US"/>
          <w:w w:val="100"/>
          <w:spacing w:val="0"/>
          <w:position w:val="0"/>
        </w:rPr>
        <w:t>zakupkisvao@mail.ru</w:t>
      </w:r>
      <w:r>
        <w:fldChar w:fldCharType="end"/>
      </w:r>
    </w:p>
    <w:p>
      <w:pPr>
        <w:pStyle w:val="Style5"/>
        <w:widowControl w:val="0"/>
        <w:keepNext w:val="0"/>
        <w:keepLines w:val="0"/>
        <w:shd w:val="clear" w:color="auto" w:fill="auto"/>
        <w:bidi w:val="0"/>
        <w:jc w:val="left"/>
        <w:spacing w:before="0" w:after="0" w:line="317" w:lineRule="exact"/>
        <w:ind w:left="5320" w:right="0" w:firstLine="0"/>
      </w:pPr>
      <w:r>
        <w:rPr>
          <w:lang w:val="ru-RU" w:eastAsia="ru-RU" w:bidi="ru-RU"/>
          <w:w w:val="100"/>
          <w:spacing w:val="0"/>
          <w:color w:val="000000"/>
          <w:position w:val="0"/>
        </w:rPr>
        <w:t>ООО «Геоком-Строй»</w:t>
      </w:r>
    </w:p>
    <w:p>
      <w:pPr>
        <w:pStyle w:val="Style5"/>
        <w:widowControl w:val="0"/>
        <w:keepNext w:val="0"/>
        <w:keepLines w:val="0"/>
        <w:shd w:val="clear" w:color="auto" w:fill="auto"/>
        <w:bidi w:val="0"/>
        <w:jc w:val="left"/>
        <w:spacing w:before="0" w:after="0" w:line="317" w:lineRule="exact"/>
        <w:ind w:left="5320" w:right="0" w:firstLine="0"/>
      </w:pPr>
      <w:r>
        <w:rPr>
          <w:lang w:val="ru-RU" w:eastAsia="ru-RU" w:bidi="ru-RU"/>
          <w:w w:val="100"/>
          <w:spacing w:val="0"/>
          <w:color w:val="000000"/>
          <w:position w:val="0"/>
        </w:rPr>
        <w:t>ул. Поречная, д. 3, корп. 1, кв. 145, г.</w:t>
      </w:r>
    </w:p>
    <w:p>
      <w:pPr>
        <w:pStyle w:val="Style5"/>
        <w:widowControl w:val="0"/>
        <w:keepNext w:val="0"/>
        <w:keepLines w:val="0"/>
        <w:shd w:val="clear" w:color="auto" w:fill="auto"/>
        <w:bidi w:val="0"/>
        <w:jc w:val="left"/>
        <w:spacing w:before="0" w:after="286" w:line="317" w:lineRule="exact"/>
        <w:ind w:left="5320" w:right="0" w:firstLine="0"/>
      </w:pPr>
      <w:r>
        <w:rPr>
          <w:lang w:val="ru-RU" w:eastAsia="ru-RU" w:bidi="ru-RU"/>
          <w:w w:val="100"/>
          <w:spacing w:val="0"/>
          <w:color w:val="000000"/>
          <w:position w:val="0"/>
        </w:rPr>
        <w:t xml:space="preserve">Москва, 109652, </w:t>
      </w:r>
      <w:r>
        <w:fldChar w:fldCharType="begin"/>
      </w:r>
      <w:r>
        <w:rPr>
          <w:color w:val="000000"/>
        </w:rPr>
        <w:instrText> HYPERLINK "mailto:954677@mail.ru" </w:instrText>
      </w:r>
      <w:r>
        <w:fldChar w:fldCharType="separate"/>
      </w:r>
      <w:r>
        <w:rPr>
          <w:rStyle w:val="Hyperlink"/>
          <w:lang w:val="en-US" w:eastAsia="en-US" w:bidi="en-US"/>
          <w:w w:val="100"/>
          <w:spacing w:val="0"/>
          <w:position w:val="0"/>
        </w:rPr>
        <w:t>954677@mail.ru</w:t>
      </w:r>
      <w:r>
        <w:fldChar w:fldCharType="end"/>
      </w:r>
    </w:p>
    <w:p>
      <w:pPr>
        <w:pStyle w:val="Style5"/>
        <w:widowControl w:val="0"/>
        <w:keepNext w:val="0"/>
        <w:keepLines w:val="0"/>
        <w:shd w:val="clear" w:color="auto" w:fill="auto"/>
        <w:bidi w:val="0"/>
        <w:jc w:val="left"/>
        <w:spacing w:before="0" w:after="0"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60-я Октября пр., д. 9, г. Москва, 117312</w:t>
      </w:r>
    </w:p>
    <w:p>
      <w:pPr>
        <w:pStyle w:val="Style8"/>
        <w:tabs>
          <w:tab w:leader="none" w:pos="12454" w:val="right"/>
        </w:tabs>
        <w:widowControl w:val="0"/>
        <w:keepNext w:val="0"/>
        <w:keepLines w:val="0"/>
        <w:shd w:val="clear" w:color="auto" w:fill="auto"/>
        <w:bidi w:val="0"/>
        <w:jc w:val="left"/>
        <w:spacing w:before="0" w:after="0"/>
        <w:ind w:left="2340" w:right="2560" w:firstLine="2040"/>
      </w:pPr>
      <w:r>
        <w:rPr>
          <w:lang w:val="ru-RU" w:eastAsia="ru-RU" w:bidi="ru-RU"/>
          <w:w w:val="100"/>
          <w:spacing w:val="0"/>
          <w:color w:val="000000"/>
          <w:position w:val="0"/>
        </w:rPr>
        <w:t>РЕШЕНИЕ по делу №077/06/106-2475/2021 о нарушении законодательства о контрактной системе</w:t>
      </w:r>
    </w:p>
    <w:p>
      <w:pPr>
        <w:pStyle w:val="Style8"/>
        <w:numPr>
          <w:ilvl w:val="0"/>
          <w:numId w:val="1"/>
        </w:numPr>
        <w:tabs>
          <w:tab w:leader="none" w:pos="10114" w:val="right"/>
          <w:tab w:leader="none" w:pos="915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framePr w:w="1349" w:h="427" w:wrap="around" w:vAnchor="text" w:hAnchor="margin" w:x="351" w:y="124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000107095929</w:t>
      </w:r>
    </w:p>
    <w:p>
      <w:pPr>
        <w:pStyle w:val="Style5"/>
        <w:widowControl w:val="0"/>
        <w:keepNext w:val="0"/>
        <w:keepLines w:val="0"/>
        <w:shd w:val="clear" w:color="auto" w:fill="auto"/>
        <w:bidi w:val="0"/>
        <w:jc w:val="both"/>
        <w:spacing w:before="0" w:after="0"/>
        <w:ind w:left="20" w:right="3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r>
        <w:br w:type="page"/>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w:t>
      </w:r>
    </w:p>
    <w:p>
      <w:pPr>
        <w:pStyle w:val="Style5"/>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Н.А. Узкого,</w:t>
      </w:r>
    </w:p>
    <w:p>
      <w:pPr>
        <w:pStyle w:val="Style5"/>
        <w:tabs>
          <w:tab w:leader="none" w:pos="608"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ГКУ «Дирекция ЖКХиБ СВАО»: А. М. Слюсарева (по доверенности от 27.04.2020 №6),</w:t>
      </w:r>
    </w:p>
    <w:p>
      <w:pPr>
        <w:pStyle w:val="Style5"/>
        <w:widowControl w:val="0"/>
        <w:keepNext w:val="0"/>
        <w:keepLines w:val="0"/>
        <w:shd w:val="clear" w:color="auto" w:fill="auto"/>
        <w:bidi w:val="0"/>
        <w:jc w:val="both"/>
        <w:spacing w:before="0" w:after="0" w:line="288" w:lineRule="exact"/>
        <w:ind w:left="20" w:right="20" w:firstLine="680"/>
      </w:pPr>
      <w:r>
        <w:rPr>
          <w:lang w:val="ru-RU" w:eastAsia="ru-RU" w:bidi="ru-RU"/>
          <w:w w:val="100"/>
          <w:spacing w:val="0"/>
          <w:color w:val="000000"/>
          <w:position w:val="0"/>
        </w:rPr>
        <w:t>ООО «Геоком-Строй»: А.А. Конталева (по доверенности от 10.12.2020 № б/н),</w:t>
      </w:r>
    </w:p>
    <w:p>
      <w:pPr>
        <w:pStyle w:val="Style5"/>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третьего лица: А.А. Злобина,</w:t>
      </w:r>
    </w:p>
    <w:p>
      <w:pPr>
        <w:pStyle w:val="Style5"/>
        <w:widowControl w:val="0"/>
        <w:keepNext w:val="0"/>
        <w:keepLines w:val="0"/>
        <w:shd w:val="clear" w:color="auto" w:fill="auto"/>
        <w:bidi w:val="0"/>
        <w:jc w:val="both"/>
        <w:spacing w:before="0" w:after="349"/>
        <w:ind w:left="20" w:right="20" w:firstLine="680"/>
      </w:pPr>
      <w:r>
        <w:rPr>
          <w:lang w:val="ru-RU" w:eastAsia="ru-RU" w:bidi="ru-RU"/>
          <w:w w:val="100"/>
          <w:spacing w:val="0"/>
          <w:color w:val="000000"/>
          <w:position w:val="0"/>
        </w:rPr>
        <w:t>рассмотрев жалобы ООО «Геоком-Строй» (далее — Заявитель) на действия ГБУ г. Москвы «Жилищник Алтуфьевского района», ГБУ «Жилищник Бабушкинского района», ГБУ «Жилищник района Свиблово», ГБУ «Жилищник района Марьина Роща», ГБУ «Жилищник района Южное Медведково» (далее — Заказчики) при проведении электронного аукциона на право заключения государственного контракта на выполнение работ в рамках КСОДД на территории Северо-Восточного административного округа города Москвы (Закупка № 0373200017520001371)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10"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Московское УФАС России поступили жалобы Заявителя на действия Заказчиков при проведении электронного аукциона.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На заседание Комиссии Управления Уполномоченным органом представлены документы и сведения, запрашиваемые письмами Московского УФАС России исх. №ЕИ/7766/21 от 11.02.2021 и исх. №ЕИ/7950/21 от 12.02.2021.</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доводам жалобы Заказчиками неправомерно размещены протоколы признания участника уклонившимся от заключения контрактов от 10.02.2021 № №ППУ1, ППУ2, ППУ3, ППУ4, ППУ5 на основании предоставления обеспечения исполнения контракта в виде банковской гарантии, не соответствующей требованиям аукционной документации и положениям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На основании ч.13 ст.83.2 Закона о контрактной системе победитель электронной процедуры (за исключением победителя, предусмотренного ч.14 ст.83.2 Закона о контрактной системе)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ч.4 ст.83.2 Закона о контрактной системе, или не исполнил требования, предусмотренные ст.37 Закона о контрактной системе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5"/>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379" w:val="left"/>
        </w:tabs>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№0373200017520001371-3-2 ООО «Геоком-Строй» признано победителем электронного аукциона.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 2 ст. 45 Закона о контрактной системе, банковская гарантия должна быть безотзывной и должна содержать:</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сумму банковской гарантии, подлежащую уплате гарантом заказчику в установленных частью 15 статьи 44 Закона о контрактной системе 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 о контрактной системе;</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срок действия банковской гарантии с учетом требований статей 44 и 96 Закона о контрактной системе;</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5"/>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Комиссией Управления установлено, что победителем аукциона направлены подписанные проекты контрактов и обеспечения исполнения контрактов в виде банковских гарантий от 05.02.2021 №№ </w:t>
      </w:r>
      <w:r>
        <w:rPr>
          <w:lang w:val="en-US" w:eastAsia="en-US" w:bidi="en-US"/>
          <w:w w:val="100"/>
          <w:spacing w:val="0"/>
          <w:color w:val="000000"/>
          <w:position w:val="0"/>
        </w:rPr>
        <w:t xml:space="preserve">9991-4R1/454453, 9991-4R1/454454, 9991-4R1/454455, 9991-4R1/454456, 9991-4R1/454457, </w:t>
      </w:r>
      <w:r>
        <w:rPr>
          <w:lang w:val="ru-RU" w:eastAsia="ru-RU" w:bidi="ru-RU"/>
          <w:w w:val="100"/>
          <w:spacing w:val="0"/>
          <w:color w:val="000000"/>
          <w:position w:val="0"/>
        </w:rPr>
        <w:t>выданные ПАО «БАНК УРАЛС» (далее — Банковские гарантии).</w:t>
      </w:r>
    </w:p>
    <w:p>
      <w:pPr>
        <w:pStyle w:val="Style5"/>
        <w:tabs>
          <w:tab w:leader="none" w:pos="2918"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Согласно ч.8.2</w:t>
        <w:tab/>
        <w:t>ст.45 Закона о контрактной системе дополнительные</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заседании Комиссии Управления представитель Уполномоченного органа пояснил, что в представленных Банковских гарантиях содержатся условия, которые противоречат положениям Закона о контрактной системе, а именно в п. 13 банковских гарантий указано следующее: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«В случае нарушения Гарантом срока рассмотрения и выплаты платежа по Гарантии Бенефициару Гарант обязуется уплатить Бенефициару неустойку в размере 0,1 (ноль целых одна десятая) процента от денежной суммы, подлежащей уплате, за каждый день просрочки. </w:t>
      </w:r>
      <w:r>
        <w:rPr>
          <w:rStyle w:val="CharStyle12"/>
        </w:rPr>
        <w:t>При этом Гарант имеет право приостановить платеж по Гарантии на срок до семи календарных дней в случаях, определенных пунктом 2 статьи 376 Гражданского кодекса Российской Федерации, незамедлительно уведомив об этом Бенефициара и Принципала»,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 по мнению Заказчиков, включение Гарантом условий о праве приостановить платеж по Гарантии на срок до семи календарных дней лишает возможности Заказчиков на получение неустойки, а также предоставляет возможность Гаранту увеличить срок платежа по Гарантии до 14 дней (5 рабочих + 7 календарных), что противоречит пункту 9 Гарантии и ч.3 ст. 45 Закона о контрактной системе. При этом указанное положение отсутствует в ст. 45 Закона о контрактной системе и в постановлении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Одновременно с этим Комиссией Управления установлено, что согласно п. 8 Гарантии «Гарант отказывает в удовлетворении Требования Бенефициара, если Требование будет представлено Гаранту по окончании срока действия настоящей</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Гарантии либо если Требование, и/или приложенные к нему документы не соответствуют условиям настоящей Гарантии». Так же п. 9 Гарантии предусматривает, что «Платеж по настоящей Гарантии будет осуществлен в течение 5 (пяти) рабочих дней после дня получения Гарантом Требования при соблюдении указанных в настоящей Гарантии условий». Кроме того п. 14 Гарантии устанавливает, что «Бенефициар имеет право на бесспорное списание денежных средств со счета Гаранта, если Гарантом в срок не более 5 (пяти) рабочих дней не исполнено Требование Бенефициара об уплате денежной суммы по Гарантии, направленное Гаранту до окончания срока действия Гарантии».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Исходя из положений ч. 2 ст. 375 Гражданского кодекса Российской Федерации (далее - ГК РФ) гарант должен рассмотреть требование бенефициара и приложенные к нему документы в течение пяти дней со дня, следующего за днем получения требования со всеми приложенными к нему документами, и, если требование признано им надлежащим, произвести платеж.</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3 ст.375 ГК РФ предусмотрено, что гарант проверяет соответствие требования бенефициара условиям независимой гарантии, а также оценивает по внешним признакам приложенные к нему документы.</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 1 ст. 376 ГК РФ Гарант отказывает бенефициару в удовлетворении его требования, если это требование или приложенные к нему документы не соответствуют условиям независимой гарантии либо представлены гаранту по окончании срока действия независимой гарантии. Гарант должен уведомить об этом бенефициара в срок, предусмотренный пунктом 2 статьи 375 ГК РФ, указав причину отказа.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 2 ст. 376 ГК РФ гарант имеет право приостановить платеж на срок до семи дней, если он имеет разумные основания полагать, что:</w:t>
      </w:r>
    </w:p>
    <w:p>
      <w:pPr>
        <w:pStyle w:val="Style5"/>
        <w:numPr>
          <w:ilvl w:val="0"/>
          <w:numId w:val="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какой-либо из представленных ему документов является недостоверным;</w:t>
      </w:r>
    </w:p>
    <w:p>
      <w:pPr>
        <w:pStyle w:val="Style5"/>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обстоятельство, на случай возникновения которого независимая гарантия обеспечивала интересы бенефициара, не возникло;</w:t>
      </w:r>
    </w:p>
    <w:p>
      <w:pPr>
        <w:pStyle w:val="Style5"/>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основное обязательство принципала, обеспеченное независимой гарантией, недействительно;</w:t>
      </w:r>
    </w:p>
    <w:p>
      <w:pPr>
        <w:pStyle w:val="Style5"/>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исполнение по основному обязательству принципала принято бенефициаром без каких-либо возражений.</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ч.4 ст. 376 ГК РФ Гарант несет ответственность перед бенефициаром и принципалом за необоснованное приостановление платежа.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 5. ст. 376 ГК РФ по истечении срока, предусмотренного пунктом 2 ст. 376 ГК РФ, при отсутствии оснований для отказа в удовлетворении требования бенефициара (пункт 1 ст. 376 ГК РФ) гарант обязан произвести платеж по гарантии.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со статьей 377 ГК РФ (пределы обязательства гаранта), обязательство Гаранта перед Бенефициаром ограничено уплатой суммы, на которую выдана гарантия, а ответственность гаранта перед Бенефициаром за невыполнение или ненадлежащее выполнение обязательства по гарантии не ограничена суммой, на которую выдана гарантия, если в гарантии не предусмотрено иное.</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Иными словами, отсутствие в специальном законодательстве, коим является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Закон о контрактной системе, а также в постановлении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указаний на вышеописанное право гаранта о приостановке платежа не свидетельствует о том, что включение в банковскую гарантию указание на такое право не соответствует требованиям законодательства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Очевидно, что право Гаранта приостановить платеж на срок до семи дней прямо предусмотрено ГК РФ и действует вне зависимости от наличия или отсутствия указания на него в Г арантии.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При этом положения ч. 2 ст. 376 ГК РФ и п. 8, 9, 14 Гарантий не свидетельствуют об отсутствии у Заказчика права на бесспорное списание денежных средств, а так же на то, что Гарантом не будет произведена выплата неустойки, в том числе за дни необоснованной приостановки с учетом того, что ч.4 ст. 376 ГК РФ предусмотрена ответственность гаранта при таких обстоятельствах.</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соответствии с ч. 7 ст. 45 Закона о контрактной системе в случае отказа в принятии банковской гарантии заказчик в срок, установленный ч. 5 ст. 45 Закона о контрактной системе,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9"/>
        </w:numPr>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 xml:space="preserve"> отсутствие информации о банковской гарантии в реестре банковских гарантий;</w:t>
      </w:r>
    </w:p>
    <w:p>
      <w:pPr>
        <w:pStyle w:val="Style5"/>
        <w:numPr>
          <w:ilvl w:val="0"/>
          <w:numId w:val="9"/>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 2 и 3 ст. 45 Закона о контрактной системе;</w:t>
      </w:r>
    </w:p>
    <w:p>
      <w:pPr>
        <w:pStyle w:val="Style5"/>
        <w:numPr>
          <w:ilvl w:val="0"/>
          <w:numId w:val="9"/>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Таким образом, Комиссия Управления приходит к выводу о нарушении Заказчиками ч. 6 ст. 45, ч.13 ст.83.2 Закона о контрактной системе, поскольку правовых оснований для отказа в принятии банковских гарантий, указанных в протоколах отказа от заключения контрактов от 10.02.2021 №№ППУ1, ППУ2, ППУ3, ППУ4, ППУ5, у Заказчиков не имелось.</w:t>
      </w:r>
    </w:p>
    <w:p>
      <w:pPr>
        <w:pStyle w:val="Style5"/>
        <w:widowControl w:val="0"/>
        <w:keepNext w:val="0"/>
        <w:keepLines w:val="0"/>
        <w:shd w:val="clear" w:color="auto" w:fill="auto"/>
        <w:bidi w:val="0"/>
        <w:jc w:val="both"/>
        <w:spacing w:before="0" w:after="0" w:line="312" w:lineRule="exact"/>
        <w:ind w:left="20" w:right="20" w:firstLine="700"/>
        <w:sectPr>
          <w:footnotePr>
            <w:pos w:val="pageBottom"/>
            <w:numFmt w:val="decimal"/>
            <w:numRestart w:val="continuous"/>
          </w:footnotePr>
          <w:type w:val="continuous"/>
          <w:pgSz w:w="11906" w:h="16838"/>
          <w:pgMar w:top="1258" w:left="733" w:right="709" w:bottom="1324"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8"/>
        <w:widowControl w:val="0"/>
        <w:keepNext w:val="0"/>
        <w:keepLines w:val="0"/>
        <w:shd w:val="clear" w:color="auto" w:fill="auto"/>
        <w:bidi w:val="0"/>
        <w:jc w:val="center"/>
        <w:spacing w:before="0" w:after="307" w:line="260" w:lineRule="exact"/>
        <w:ind w:left="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jc w:val="left"/>
        <w:spacing w:before="0" w:after="0" w:line="317" w:lineRule="exact"/>
        <w:ind w:left="0" w:right="20" w:firstLine="720"/>
      </w:pPr>
      <w:r>
        <w:rPr>
          <w:lang w:val="ru-RU" w:eastAsia="ru-RU" w:bidi="ru-RU"/>
          <w:w w:val="100"/>
          <w:spacing w:val="0"/>
          <w:color w:val="000000"/>
          <w:position w:val="0"/>
        </w:rPr>
        <w:t xml:space="preserve"> Признать жалобы ООО «Геоком-Строй» на действия Заказчиков обоснованными.</w:t>
      </w:r>
    </w:p>
    <w:p>
      <w:pPr>
        <w:pStyle w:val="Style5"/>
        <w:numPr>
          <w:ilvl w:val="0"/>
          <w:numId w:val="11"/>
        </w:numPr>
        <w:widowControl w:val="0"/>
        <w:keepNext w:val="0"/>
        <w:keepLines w:val="0"/>
        <w:shd w:val="clear" w:color="auto" w:fill="auto"/>
        <w:bidi w:val="0"/>
        <w:jc w:val="left"/>
        <w:spacing w:before="0" w:after="0" w:line="312" w:lineRule="exact"/>
        <w:ind w:left="0" w:right="20" w:firstLine="720"/>
      </w:pPr>
      <w:r>
        <w:rPr>
          <w:lang w:val="ru-RU" w:eastAsia="ru-RU" w:bidi="ru-RU"/>
          <w:w w:val="100"/>
          <w:spacing w:val="0"/>
          <w:color w:val="000000"/>
          <w:position w:val="0"/>
        </w:rPr>
        <w:t xml:space="preserve"> Признать в действиях Заказчиков нарушение ч.6 ст.45, ч.13 ст.83.2 Закона о контрактной системе.</w:t>
      </w:r>
    </w:p>
    <w:p>
      <w:pPr>
        <w:pStyle w:val="Style5"/>
        <w:numPr>
          <w:ilvl w:val="0"/>
          <w:numId w:val="11"/>
        </w:numPr>
        <w:widowControl w:val="0"/>
        <w:keepNext w:val="0"/>
        <w:keepLines w:val="0"/>
        <w:shd w:val="clear" w:color="auto" w:fill="auto"/>
        <w:bidi w:val="0"/>
        <w:jc w:val="left"/>
        <w:spacing w:before="0" w:after="289" w:line="307" w:lineRule="exact"/>
        <w:ind w:left="0" w:right="20" w:firstLine="720"/>
      </w:pPr>
      <w:r>
        <w:rPr>
          <w:lang w:val="ru-RU" w:eastAsia="ru-RU" w:bidi="ru-RU"/>
          <w:w w:val="100"/>
          <w:spacing w:val="0"/>
          <w:color w:val="000000"/>
          <w:position w:val="0"/>
        </w:rPr>
        <w:t xml:space="preserve"> Выдать Заказчикам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гл. 24 АПК РФ.</w:t>
      </w:r>
    </w:p>
    <w:p>
      <w:pPr>
        <w:pStyle w:val="Style5"/>
        <w:framePr w:h="245" w:vSpace="398" w:wrap="around" w:vAnchor="text" w:hAnchor="margin" w:x="7756" w:y="1"/>
        <w:widowControl w:val="0"/>
        <w:keepNext w:val="0"/>
        <w:keepLines w:val="0"/>
        <w:shd w:val="clear" w:color="auto" w:fill="auto"/>
        <w:bidi w:val="0"/>
        <w:jc w:val="left"/>
        <w:spacing w:before="0" w:after="0" w:line="240" w:lineRule="exact"/>
        <w:ind w:left="100" w:right="0" w:firstLine="0"/>
      </w:pPr>
      <w:r>
        <w:rPr>
          <w:rStyle w:val="CharStyle14"/>
          <w:spacing w:val="0"/>
        </w:rPr>
        <w:t>Л.Н. Харченко</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Председатель Комиссии</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14"/>
          <w:spacing w:val="0"/>
        </w:rPr>
        <w:t>Члены комиссии:</w:t>
      </w:r>
    </w:p>
    <w:p>
      <w:pPr>
        <w:pStyle w:val="Style5"/>
        <w:framePr w:h="240" w:wrap="notBeside" w:vAnchor="text" w:hAnchor="margin" w:x="8207" w:y="644"/>
        <w:widowControl w:val="0"/>
        <w:keepNext w:val="0"/>
        <w:keepLines w:val="0"/>
        <w:shd w:val="clear" w:color="auto" w:fill="auto"/>
        <w:bidi w:val="0"/>
        <w:jc w:val="left"/>
        <w:spacing w:before="0" w:after="0" w:line="240" w:lineRule="exact"/>
        <w:ind w:left="100" w:right="0" w:firstLine="0"/>
      </w:pPr>
      <w:r>
        <w:rPr>
          <w:rStyle w:val="CharStyle14"/>
          <w:spacing w:val="0"/>
        </w:rPr>
        <w:t>Н.А. Узкий</w:t>
      </w:r>
    </w:p>
    <w:p>
      <w:pPr>
        <w:pStyle w:val="Style5"/>
        <w:widowControl w:val="0"/>
        <w:keepNext w:val="0"/>
        <w:keepLines w:val="0"/>
        <w:shd w:val="clear" w:color="auto" w:fill="auto"/>
        <w:bidi w:val="0"/>
        <w:jc w:val="right"/>
        <w:spacing w:before="0" w:after="6288" w:line="260" w:lineRule="exact"/>
        <w:ind w:left="0" w:right="20" w:firstLine="0"/>
      </w:pPr>
      <w:r>
        <w:rPr>
          <w:lang w:val="ru-RU" w:eastAsia="ru-RU" w:bidi="ru-RU"/>
          <w:w w:val="100"/>
          <w:spacing w:val="0"/>
          <w:color w:val="000000"/>
          <w:position w:val="0"/>
        </w:rPr>
        <w:t>А.А. Кутейников</w:t>
      </w:r>
    </w:p>
    <w:p>
      <w:pPr>
        <w:pStyle w:val="Style15"/>
        <w:widowControl w:val="0"/>
        <w:keepNext w:val="0"/>
        <w:keepLines w:val="0"/>
        <w:shd w:val="clear" w:color="auto" w:fill="auto"/>
        <w:bidi w:val="0"/>
        <w:jc w:val="left"/>
        <w:spacing w:before="0" w:after="0"/>
        <w:ind w:left="180" w:right="486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lang w:val="en-US" w:eastAsia="en-US" w:bidi="en-US"/>
          <w:w w:val="100"/>
          <w:spacing w:val="0"/>
          <w:position w:val="0"/>
        </w:rPr>
        <w:t>to77-kuteynikov@fas.gov.ru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2021-10473</w:t>
      </w:r>
    </w:p>
    <w:sectPr>
      <w:pgSz w:w="11906" w:h="16838"/>
      <w:pgMar w:top="1151" w:left="853" w:right="853" w:bottom="5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8.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10 pt"/>
    <w:basedOn w:val="CharStyle6"/>
    <w:rPr>
      <w:lang w:val="ru-RU" w:eastAsia="ru-RU" w:bidi="ru-RU"/>
      <w:sz w:val="20"/>
      <w:szCs w:val="20"/>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6"/>
    <w:rPr>
      <w:lang w:val="ru-RU" w:eastAsia="ru-RU" w:bidi="ru-RU"/>
      <w:i/>
      <w:iCs/>
      <w:w w:val="100"/>
      <w:spacing w:val="0"/>
      <w:color w:val="000000"/>
      <w:position w:val="0"/>
    </w:rPr>
  </w:style>
  <w:style w:type="character" w:customStyle="1" w:styleId="CharStyle13">
    <w:name w:val="Основной текст + 10,5 pt"/>
    <w:basedOn w:val="CharStyle6"/>
    <w:rPr>
      <w:lang w:val="ru-RU" w:eastAsia="ru-RU" w:bidi="ru-RU"/>
      <w:sz w:val="21"/>
      <w:szCs w:val="21"/>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6">
    <w:name w:val="Основной текст (3)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2"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7200" w:line="1267" w:lineRule="exact"/>
      <w:ind w:hanging="180"/>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