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97"/>
        <w:ind w:left="0" w:right="0" w:firstLine="0"/>
      </w:pPr>
      <w:r>
        <w:rPr>
          <w:rStyle w:val="CharStyle5"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93"/>
        <w:ind w:left="0" w:right="0" w:firstLine="0"/>
      </w:pPr>
      <w:r>
        <w:rPr>
          <w:rStyle w:val="CharStyle8"/>
          <w:b/>
          <w:bCs/>
        </w:rPr>
        <w:t>УПРАВЛЕНИЕ Федеральной антимонопольной службы по Республике Адыгея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1"/>
        </w:rPr>
        <w:t xml:space="preserve">ул. Ленина, 40, г. Майкоп, 385000 Тел./факс: (8772) 57-05-22 </w:t>
      </w:r>
      <w:r>
        <w:rPr>
          <w:rStyle w:val="CharStyle11"/>
          <w:lang w:val="en-US" w:eastAsia="en-US" w:bidi="en-US"/>
        </w:rPr>
        <w:t xml:space="preserve">c-mail: </w:t>
      </w:r>
      <w:r>
        <w:fldChar w:fldCharType="begin"/>
      </w:r>
      <w:r>
        <w:rPr>
          <w:rStyle w:val="CharStyle11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to01@fas.gov.ru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05" w:line="259" w:lineRule="exact"/>
        <w:ind w:left="0" w:right="0" w:firstLine="0"/>
      </w:pPr>
      <w:r>
        <w:rPr>
          <w:rStyle w:val="CharStyle5"/>
        </w:rPr>
        <w:t>МОНОПОЛИЕМ ПЭШ1УЕКЮРЭ ФЕДЕРАЛЬНО КЪУЛЫКЪУР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182"/>
        <w:ind w:left="0" w:right="0" w:firstLine="0"/>
      </w:pPr>
      <w:r>
        <w:rPr>
          <w:rStyle w:val="CharStyle14"/>
        </w:rPr>
        <w:t>Монополием пэш1уек1орэ Федеральна къулыкъум Адыгэ РеспубликэмкЬ и Гъэ1орыш1ап1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10" w:left="776" w:right="1299" w:bottom="657" w:header="0" w:footer="3" w:gutter="0"/>
          <w:rtlGutter w:val="0"/>
          <w:cols w:num="2" w:space="2441"/>
          <w:noEndnote/>
          <w:docGrid w:linePitch="360"/>
        </w:sectPr>
      </w:pPr>
      <w:r>
        <w:rPr>
          <w:rStyle w:val="CharStyle11"/>
        </w:rPr>
        <w:t xml:space="preserve">Лениным иур, 40, къ. Мыекъуапэ, 385000 Тел ./факс: (8772) 57-05-22 </w:t>
      </w:r>
      <w:r>
        <w:rPr>
          <w:rStyle w:val="CharStyle11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1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to01@fas.gov.ru</w:t>
      </w:r>
      <w:r>
        <w:fldChar w:fldCharType="end"/>
      </w: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«Джули»</w:t>
      </w:r>
    </w:p>
    <w:p>
      <w:pPr>
        <w:pStyle w:val="Style9"/>
        <w:framePr w:h="164" w:wrap="around" w:vAnchor="text" w:hAnchor="margin" w:x="-3868" w:y="395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0" w:right="0" w:firstLine="0"/>
      </w:pPr>
      <w:r>
        <w:rPr>
          <w:rStyle w:val="CharStyle16"/>
          <w:spacing w:val="0"/>
        </w:rPr>
        <w:t>На №</w:t>
      </w:r>
    </w:p>
    <w:p>
      <w:pPr>
        <w:pStyle w:val="Style9"/>
        <w:framePr w:h="150" w:wrap="around" w:vAnchor="text" w:hAnchor="margin" w:x="-2217" w:y="419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0" w:right="0" w:firstLine="0"/>
      </w:pPr>
      <w:r>
        <w:rPr>
          <w:rStyle w:val="CharStyle15"/>
          <w:spacing w:val="0"/>
        </w:rPr>
        <w:t>от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300" w:line="317" w:lineRule="exact"/>
        <w:ind w:left="20" w:right="2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620063, город Екатеринбург, улица Чапаева, строение 14, корпус 3, часть помещения 19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"mailto:July096@yandex.ru"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July096@yandex.ru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260" w:firstLine="0"/>
        <w:sectPr>
          <w:type w:val="continuous"/>
          <w:pgSz w:w="11906" w:h="16838"/>
          <w:pgMar w:top="710" w:left="4842" w:right="704" w:bottom="65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Администрации МО «Тахтамукайский район» 385100, Тахтамукайский район, аул Тахтамукай, улица Гагарина, 2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"mailto:tahtamukay@mail.ru"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tahtamukay@mail.ru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4" w:after="3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125" w:line="322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делу №001/06/64-65/2021 о нарушении законодательства о контрактной системе в сфере закупок</w:t>
      </w:r>
    </w:p>
    <w:p>
      <w:pPr>
        <w:pStyle w:val="Style12"/>
        <w:tabs>
          <w:tab w:leader="none" w:pos="8626" w:val="right"/>
          <w:tab w:leader="none" w:pos="877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62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19 февраля 2021 года</w:t>
        <w:tab/>
        <w:t>г.</w:t>
        <w:tab/>
        <w:t>Майкоп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64" w:line="322" w:lineRule="exact"/>
        <w:ind w:left="20" w:right="42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Резолютивная часть оглашена: 17.02.2021 Решение в полном объеме изготовлено: 19.02.2021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6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Республике Адыгея по контролю в сфере закупок (далее - Комиссия УФАС) в составе: председателя Комиссии УФАС - Женетля А.Ш., заместителя руководителя, членов Комиссии УФАС: Вдовиной О.Ю., начальника отдела, Блягоза Р.Х. и Пшизова М.А., ведущих специалистов-экспертов Управления, с участием представителей Заказчика - Администрации МО «Тахтамукайский район» (далее - Заказчик) Бешкок Е.А. и Савв Л.В. (доверенность от 17.02.2021), рассмотрев жалобу Заявителя - ООО «Джули» (далее - Заявитель) на положения документации электронного аукциона на выполнение работ по строительству объекта: «Дом культуры в а.Псейтук по ул.Шапсугской», расположенный по адресу: Республика Адыгея, Тахтамукайский район, а. Псейтук, ул. Шапсугская, 16 (извещение №0176300007621000004) (национальный проект «Культура») (далее - Аукцион), проведя внеплановую проверку на основании пункта 1 части 15 статьи 99 Федерального закона от 05.04.2013 № 44-ФЗ «О контрактной системе в сфере закупок товаров, работ, услуг для государственных и муниципальных нужд» (далее - Закон о контрактной системе),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</w:t>
      </w:r>
      <w:r>
        <w:br w:type="page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129" w:line="326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утвержденного Приказом ФАС России от 19.11.2014 № 727/14 (далее - Административный регламент)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81" w:line="240" w:lineRule="exact"/>
        <w:ind w:left="44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 Федеральной антимонопольной службы по Республике Адыгея (далее - Адыгейское УФАС России) 10.02.2021 поступила жалоба Заявителя, в которой указано, что график выполнения строительно-монтажных работ не содержит требования Методики составления графика выполнения строительно- монтажных работ и графика оплаты выполненных по договору, предметом которого является строительство, реконструкция, капитальный ремонт объектов капитального строительства работ, утвержденной приказом Минстроя 05.06.2018 №336/пр.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 Заявитель просит приостановить размещение закупки, признать жалобу обоснованной, обязать Заказчика привести документацию в соответствие с законодательством.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представил возражение на жалобу от 16.02.2021, в котором просил признать жалобу необоснованной.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результате рассмотрения жалобы и проведения внеплановой проверки Комиссия УФАС установила следующее.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Заказчиком на официальном сайте единой информационной системы в сфере закупок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zakupki.gov.ru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(далее - Официальный сайт) 02.02.2021 размещены извещение о проведении закупки и документация Аукциона.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Начальная (максимальная) цена контракта - 40 348 420,00 руб.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Источник финансирования - бюджет муниципального образования «Город Майкоп» на </w:t>
      </w:r>
      <w:r>
        <w:rPr>
          <w:rStyle w:val="CharStyle17"/>
        </w:rPr>
        <w:t xml:space="preserve">2020 Г.-2022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Аукционная документация утверждена заместителем главы администрации МО «Тахтамукайский район» Баговой С.А. - 01.02.2021.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части 6 статьи 110.2 Закона о контрактной системе, объем, содержание работ по контрактам, предметом которых являются строительство, реконструкция объектов капитального строительства, определяются проектной документацией объектов капитального строительства, а также иной технической документацией, предусмотренной такими контрактами. При этом выполнение работ по таким контрактам осуществляется в соответствии с графиком выполнения строительно</w:t>
        <w:softHyphen/>
        <w:t>монтажных работ, являющимся обязательным приложением к таким контрактам.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7 статьи 110.2 Закона о контрактной системе методики составления сметы контракта, графика оплаты выполненных по контракту работ, графика выполнения строителыю-моптажиых работ утверждаются уполномоченным Правительством Российской Федерации федеральным органом исполнительной власти.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Пунктом 1.4. Методики составления графика выполнения строительно</w:t>
        <w:softHyphen/>
        <w:t xml:space="preserve">монтажных работ и графика оплаты, выполненных по контракту (договору), предметом которого являются строительство, реконструкция объектов капитального строительства, работ, утвержденной приказом Министерства строительства и жилищно-коммунального хозяйства РФ от 5 июня 2018 г.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336/пр (далее - Методика) установлено, что проекты графика выполнения работ и графика оплаты выполненных работ составляются заказчиком одновременно с проектом контракта, являются его приложением и размещаются заказчиком в единой информационной системе в сфере закупок вместе с документацией об осуществлении закупки, извещением о закупке.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Пунктом 2.9. Методики установлено, что дополнительно под табличной частью графика выполнения работ до полей для подписания его сторонами контракта в графике выполнения работ должны быть отражены даты, не позднее которых должны состоятся следующие события: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подписание сторонами акта о соответствии состояния земельного участка (объекта капитального строительства, подлежащего реконструкции) условиям контракта;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передача подрядчику копии разрешения на строительство, реконструкцию объекта; копии решения собственника имущества о его сносе (при необходимости); копии разрешения на вырубку зеленых и лесных насаждений; копии технических условий и разрешений на временное присоединение объекта к сетям инженерно-технического обеспечения в соответствии с проектом организации строительства;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передача подрядчику копий документов, подтверждающих согласование производства отдельных работ, если необходимость такого согласования установлена законодательством Российской Федерации;</w:t>
      </w:r>
    </w:p>
    <w:p>
      <w:pPr>
        <w:pStyle w:val="Style12"/>
        <w:numPr>
          <w:ilvl w:val="0"/>
          <w:numId w:val="1"/>
        </w:numPr>
        <w:tabs>
          <w:tab w:leader="none" w:pos="447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подключение объекта к сетям инженерно-технического обеспечения в соответствии с техническими</w:t>
        <w:tab/>
        <w:t>условиями, предусмотренными проектной документацией;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подписание акта о соответствии состояния земельного участка условиям контракта при завершении строительства, реконструкции объекта.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Комиссией УФАС установлено, что Приложение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 к Контракту содержит График выполнения строительно-монтажных работ.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Вместе с тем, в нарушение </w:t>
      </w:r>
      <w:r>
        <w:rPr>
          <w:rStyle w:val="CharStyle18"/>
        </w:rPr>
        <w:t xml:space="preserve">части 6 статьи 110.2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Закона о контрактной системе указанный график не содержит вышеуказанных положений Методики, следовательно, жалоба является </w:t>
      </w:r>
      <w:r>
        <w:rPr>
          <w:rStyle w:val="CharStyle18"/>
        </w:rPr>
        <w:t>обоснованной.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Решением Комиссии УФАС по делу №001/06/64-64/2021 от 19.02.2021 по результатам рассмотрения жалобы ООО «ТехСтройПартнер» на положения документации электронного аукциона на выполнение работ по строительству объекта: «Дом культуры в а.Псейтук по ул.Шапсугской», расположенный по адресу: Республика Адыгея, Тахтамукайский район, а. Псейтук, ул. Шапсугская, 16 (извещение №0176300007621000004) и проведения внеплановой проверки, в действиях Заказчика установлено нарушение части 1 статьи 30, пункта 2 части 1 статьи 64, части 6 статьи 110.2 Закона о контрактной системе.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Комиссией УФАС, на основании решения по делу №001/06/64-64/2021 от 19.02.2021 выдано предписание Заказчику, Единой комиссии, Оператору электронной площадки об устранении выявленных нарушений, путем аннулирования Аукциона.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125" w:line="322" w:lineRule="exact"/>
        <w:ind w:left="20" w:right="0" w:firstLine="6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Руководствуясь статьями 99, 106 Федерального закона от 05.04.2013 №44-ФЗ «О контрактной системе в сфере закупок товаров, работ, услуг для государственных и муниципальных нужд», Административным регламентом, Комиссия УФАС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73" w:line="240" w:lineRule="exact"/>
        <w:ind w:left="48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1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0" w:firstLine="6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жалобу ООО «Джули» обоснованной.</w:t>
      </w:r>
    </w:p>
    <w:p>
      <w:pPr>
        <w:pStyle w:val="Style1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0" w:firstLine="6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в действиях Заказчика нарушение пункта части 6 статьи 110.2 Закона о контрактной системе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0" w:firstLine="6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12"/>
        <w:tabs>
          <w:tab w:leader="none" w:pos="772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7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  <w:tab/>
        <w:t>А.Ш. Женетль</w:t>
      </w:r>
    </w:p>
    <w:p>
      <w:pPr>
        <w:pStyle w:val="Style12"/>
        <w:tabs>
          <w:tab w:leader="none" w:pos="772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7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Комиссии:</w:t>
        <w:tab/>
        <w:t>О.Ю. Вдовина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7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Р.Х. Блягоз М.А. Пшизов</w:t>
      </w:r>
    </w:p>
    <w:sectPr>
      <w:type w:val="continuous"/>
      <w:pgSz w:w="11906" w:h="16838"/>
      <w:pgMar w:top="639" w:left="1417" w:right="260" w:bottom="146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2.9.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1">
    <w:name w:val="Основной текст (4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4">
    <w:name w:val="Основной текст"/>
    <w:basedOn w:val="CharStyle13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5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4"/>
    </w:rPr>
  </w:style>
  <w:style w:type="character" w:customStyle="1" w:styleId="CharStyle16">
    <w:name w:val="Основной текст (4) Exact"/>
    <w:basedOn w:val="CharStyle10"/>
    <w:rPr>
      <w:lang w:val="ru-RU" w:eastAsia="ru-RU" w:bidi="ru-RU"/>
      <w:sz w:val="15"/>
      <w:szCs w:val="15"/>
      <w:w w:val="100"/>
      <w:spacing w:val="4"/>
      <w:color w:val="000000"/>
      <w:position w:val="0"/>
    </w:rPr>
  </w:style>
  <w:style w:type="character" w:customStyle="1" w:styleId="CharStyle17">
    <w:name w:val="Основной текст"/>
    <w:basedOn w:val="CharStyle13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8">
    <w:name w:val="Основной текст + Полужирный,Интервал 0 pt"/>
    <w:basedOn w:val="CharStyle13"/>
    <w:rPr>
      <w:lang w:val="ru-RU" w:eastAsia="ru-RU" w:bidi="ru-RU"/>
      <w:b/>
      <w:bCs/>
      <w:sz w:val="24"/>
      <w:szCs w:val="24"/>
      <w:w w:val="100"/>
      <w:spacing w:val="1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20" w:line="26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20" w:after="120" w:line="293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before="120" w:line="202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FFFFFF"/>
      <w:jc w:val="center"/>
      <w:spacing w:before="120" w:after="120" w:line="278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