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tbl>
      <w:tblPr>
        <w:tblOverlap w:val="never"/>
        <w:tblLayout w:type="fixed"/>
        <w:jc w:val="center"/>
      </w:tblPr>
      <w:tblGrid>
        <w:gridCol w:w="4502"/>
        <w:gridCol w:w="950"/>
        <w:gridCol w:w="4421"/>
      </w:tblGrid>
      <w:tr>
        <w:trPr>
          <w:trHeight w:val="278" w:hRule="exact"/>
        </w:trPr>
        <w:tc>
          <w:tcPr>
            <w:shd w:val="clear" w:color="auto" w:fill="FFFFFF"/>
            <w:tcBorders/>
            <w:vAlign w:val="bottom"/>
          </w:tcPr>
          <w:p>
            <w:pPr>
              <w:pStyle w:val="Style3"/>
              <w:framePr w:w="9874" w:wrap="notBeside" w:vAnchor="text" w:hAnchor="text" w:xAlign="center" w:y="1"/>
              <w:widowControl w:val="0"/>
              <w:keepNext w:val="0"/>
              <w:keepLines w:val="0"/>
              <w:shd w:val="clear" w:color="auto" w:fill="auto"/>
              <w:bidi w:val="0"/>
              <w:jc w:val="left"/>
              <w:spacing w:before="0" w:after="0" w:line="220" w:lineRule="exact"/>
              <w:ind w:left="1000" w:right="0" w:firstLine="0"/>
            </w:pPr>
            <w:r>
              <w:rPr>
                <w:rStyle w:val="CharStyle5"/>
              </w:rPr>
              <w:t>ФЕДЕРАЛЬНАЯ</w:t>
            </w:r>
          </w:p>
        </w:tc>
        <w:tc>
          <w:tcPr>
            <w:shd w:val="clear" w:color="auto" w:fill="FFFFFF"/>
            <w:tcBorders>
              <w:left w:val="single" w:sz="4"/>
              <w:top w:val="single" w:sz="4"/>
            </w:tcBorders>
            <w:vAlign w:val="top"/>
          </w:tcPr>
          <w:p>
            <w:pPr>
              <w:framePr w:w="9874" w:wrap="notBeside" w:vAnchor="text" w:hAnchor="text" w:xAlign="center" w:y="1"/>
              <w:widowControl w:val="0"/>
              <w:rPr>
                <w:sz w:val="10"/>
                <w:szCs w:val="10"/>
              </w:rPr>
            </w:pPr>
          </w:p>
        </w:tc>
        <w:tc>
          <w:tcPr>
            <w:shd w:val="clear" w:color="auto" w:fill="FFFFFF"/>
            <w:tcBorders>
              <w:left w:val="single" w:sz="4"/>
            </w:tcBorders>
            <w:vAlign w:val="bottom"/>
          </w:tcPr>
          <w:p>
            <w:pPr>
              <w:pStyle w:val="Style3"/>
              <w:framePr w:w="9874" w:wrap="notBeside" w:vAnchor="text" w:hAnchor="text" w:xAlign="center" w:y="1"/>
              <w:widowControl w:val="0"/>
              <w:keepNext w:val="0"/>
              <w:keepLines w:val="0"/>
              <w:shd w:val="clear" w:color="auto" w:fill="auto"/>
              <w:bidi w:val="0"/>
              <w:jc w:val="right"/>
              <w:spacing w:before="0" w:after="0" w:line="220" w:lineRule="exact"/>
              <w:ind w:left="0" w:right="20" w:firstLine="0"/>
            </w:pPr>
            <w:r>
              <w:rPr>
                <w:rStyle w:val="CharStyle5"/>
              </w:rPr>
              <w:t>МОНОПОЛИЕМ ПЭШ1УЕКЮРЭ</w:t>
            </w:r>
          </w:p>
        </w:tc>
      </w:tr>
      <w:tr>
        <w:trPr>
          <w:trHeight w:val="432" w:hRule="exact"/>
        </w:trPr>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220" w:lineRule="exact"/>
              <w:ind w:left="40" w:right="0" w:firstLine="0"/>
            </w:pPr>
            <w:r>
              <w:rPr>
                <w:rStyle w:val="CharStyle5"/>
              </w:rPr>
              <w:t>АНТИМОНОПОЛЬНАЯ СЛУЖБА</w:t>
            </w:r>
          </w:p>
        </w:tc>
        <w:tc>
          <w:tcPr>
            <w:shd w:val="clear" w:color="auto" w:fill="FFFFFF"/>
            <w:tcBorders>
              <w:left w:val="single" w:sz="4"/>
            </w:tcBorders>
            <w:vAlign w:val="bottom"/>
          </w:tcPr>
          <w:p>
            <w:pPr>
              <w:pStyle w:val="Style3"/>
              <w:framePr w:w="9874" w:wrap="notBeside" w:vAnchor="text" w:hAnchor="text" w:xAlign="center" w:y="1"/>
              <w:widowControl w:val="0"/>
              <w:keepNext w:val="0"/>
              <w:keepLines w:val="0"/>
              <w:shd w:val="clear" w:color="auto" w:fill="auto"/>
              <w:bidi w:val="0"/>
              <w:jc w:val="left"/>
              <w:spacing w:before="0" w:after="0" w:line="780" w:lineRule="exact"/>
              <w:ind w:left="40" w:right="0" w:firstLine="0"/>
            </w:pPr>
            <w:r>
              <w:rPr>
                <w:rStyle w:val="CharStyle6"/>
              </w:rPr>
              <w:t>щф</w:t>
            </w:r>
          </w:p>
        </w:tc>
        <w:tc>
          <w:tcPr>
            <w:shd w:val="clear" w:color="auto" w:fill="FFFFFF"/>
            <w:tcBorders>
              <w:left w:val="single" w:sz="4"/>
            </w:tcBorders>
            <w:vAlign w:val="top"/>
          </w:tcPr>
          <w:p>
            <w:pPr>
              <w:pStyle w:val="Style3"/>
              <w:framePr w:w="9874" w:wrap="notBeside" w:vAnchor="text" w:hAnchor="text" w:xAlign="center" w:y="1"/>
              <w:widowControl w:val="0"/>
              <w:keepNext w:val="0"/>
              <w:keepLines w:val="0"/>
              <w:shd w:val="clear" w:color="auto" w:fill="auto"/>
              <w:bidi w:val="0"/>
              <w:jc w:val="right"/>
              <w:spacing w:before="0" w:after="0" w:line="220" w:lineRule="exact"/>
              <w:ind w:left="0" w:right="260" w:firstLine="0"/>
            </w:pPr>
            <w:r>
              <w:rPr>
                <w:rStyle w:val="CharStyle5"/>
              </w:rPr>
              <w:t>ФЕДЕРАЛЬНЭ КЪУЛЫКЪУР</w:t>
            </w:r>
          </w:p>
        </w:tc>
      </w:tr>
      <w:tr>
        <w:trPr>
          <w:trHeight w:val="331" w:hRule="exact"/>
        </w:trPr>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240" w:lineRule="exact"/>
              <w:ind w:left="1000" w:right="0" w:firstLine="0"/>
            </w:pPr>
            <w:r>
              <w:rPr>
                <w:rStyle w:val="CharStyle7"/>
              </w:rPr>
              <w:t>УПРАВЛЕНИЕ</w:t>
            </w:r>
          </w:p>
        </w:tc>
        <w:tc>
          <w:tcPr>
            <w:shd w:val="clear" w:color="auto" w:fill="FFFFFF"/>
            <w:tcBorders>
              <w:left w:val="single" w:sz="4"/>
            </w:tcBorders>
            <w:vAlign w:val="top"/>
          </w:tcPr>
          <w:p>
            <w:pPr>
              <w:framePr w:w="9874" w:wrap="notBeside" w:vAnchor="text" w:hAnchor="text" w:xAlign="center" w:y="1"/>
              <w:widowControl w:val="0"/>
              <w:rPr>
                <w:sz w:val="10"/>
                <w:szCs w:val="10"/>
              </w:rPr>
            </w:pPr>
          </w:p>
        </w:tc>
        <w:tc>
          <w:tcPr>
            <w:shd w:val="clear" w:color="auto" w:fill="FFFFFF"/>
            <w:tcBorders>
              <w:left w:val="single" w:sz="4"/>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240" w:lineRule="exact"/>
              <w:ind w:left="1180" w:right="0" w:firstLine="0"/>
            </w:pPr>
            <w:r>
              <w:rPr>
                <w:rStyle w:val="CharStyle8"/>
              </w:rPr>
              <w:t>Монополием пэш1уек1орэ</w:t>
            </w:r>
          </w:p>
        </w:tc>
      </w:tr>
      <w:tr>
        <w:trPr>
          <w:trHeight w:val="259" w:hRule="exact"/>
        </w:trPr>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7"/>
              </w:rPr>
              <w:t>Федеральной антимонопольной</w:t>
            </w:r>
          </w:p>
        </w:tc>
        <w:tc>
          <w:tcPr>
            <w:shd w:val="clear" w:color="auto" w:fill="FFFFFF"/>
            <w:tcBorders>
              <w:top w:val="single" w:sz="4"/>
            </w:tcBorders>
            <w:vAlign w:val="top"/>
          </w:tcPr>
          <w:p>
            <w:pPr>
              <w:pStyle w:val="Style3"/>
              <w:framePr w:w="9874"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9"/>
              </w:rPr>
              <w:t>V</w:t>
            </w:r>
          </w:p>
        </w:tc>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right"/>
              <w:spacing w:before="0" w:after="0" w:line="240" w:lineRule="exact"/>
              <w:ind w:left="0" w:right="520" w:firstLine="0"/>
            </w:pPr>
            <w:r>
              <w:rPr>
                <w:rStyle w:val="CharStyle8"/>
              </w:rPr>
              <w:t>Федеральнэ къулыкъум</w:t>
            </w:r>
          </w:p>
        </w:tc>
      </w:tr>
      <w:tr>
        <w:trPr>
          <w:trHeight w:val="283" w:hRule="exact"/>
        </w:trPr>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240" w:lineRule="exact"/>
              <w:ind w:left="1460" w:right="0" w:firstLine="0"/>
            </w:pPr>
            <w:r>
              <w:rPr>
                <w:rStyle w:val="CharStyle7"/>
              </w:rPr>
              <w:t>службы</w:t>
            </w:r>
          </w:p>
        </w:tc>
        <w:tc>
          <w:tcPr>
            <w:shd w:val="clear" w:color="auto" w:fill="FFFFFF"/>
            <w:tcBorders/>
            <w:vAlign w:val="top"/>
          </w:tcPr>
          <w:p>
            <w:pPr>
              <w:framePr w:w="9874" w:wrap="notBeside" w:vAnchor="text" w:hAnchor="text" w:xAlign="center" w:y="1"/>
              <w:widowControl w:val="0"/>
              <w:rPr>
                <w:sz w:val="10"/>
                <w:szCs w:val="10"/>
              </w:rPr>
            </w:pPr>
          </w:p>
        </w:tc>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240" w:lineRule="exact"/>
              <w:ind w:left="1180" w:right="0" w:firstLine="0"/>
            </w:pPr>
            <w:r>
              <w:rPr>
                <w:rStyle w:val="CharStyle8"/>
              </w:rPr>
              <w:t>Адыгэ РеспубликэмкЬ и</w:t>
            </w:r>
          </w:p>
        </w:tc>
      </w:tr>
      <w:tr>
        <w:trPr>
          <w:trHeight w:val="403" w:hRule="exact"/>
        </w:trPr>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240" w:lineRule="exact"/>
              <w:ind w:left="600" w:right="0" w:firstLine="0"/>
            </w:pPr>
            <w:r>
              <w:rPr>
                <w:rStyle w:val="CharStyle7"/>
              </w:rPr>
              <w:t>по Республике Адыгея</w:t>
            </w:r>
          </w:p>
        </w:tc>
        <w:tc>
          <w:tcPr>
            <w:shd w:val="clear" w:color="auto" w:fill="FFFFFF"/>
            <w:tcBorders/>
            <w:vAlign w:val="top"/>
          </w:tcPr>
          <w:p>
            <w:pPr>
              <w:framePr w:w="9874" w:wrap="notBeside" w:vAnchor="text" w:hAnchor="text" w:xAlign="center" w:y="1"/>
              <w:widowControl w:val="0"/>
              <w:rPr>
                <w:sz w:val="10"/>
                <w:szCs w:val="10"/>
              </w:rPr>
            </w:pPr>
          </w:p>
        </w:tc>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240" w:lineRule="exact"/>
              <w:ind w:left="1800" w:right="0" w:firstLine="0"/>
            </w:pPr>
            <w:r>
              <w:rPr>
                <w:rStyle w:val="CharStyle8"/>
              </w:rPr>
              <w:t>Гъэ1орыш1ап1</w:t>
            </w:r>
          </w:p>
        </w:tc>
      </w:tr>
      <w:tr>
        <w:trPr>
          <w:trHeight w:val="326" w:hRule="exact"/>
        </w:trPr>
        <w:tc>
          <w:tcPr>
            <w:shd w:val="clear" w:color="auto" w:fill="FFFFFF"/>
            <w:tcBorders/>
            <w:vAlign w:val="bottom"/>
          </w:tcPr>
          <w:p>
            <w:pPr>
              <w:pStyle w:val="Style3"/>
              <w:framePr w:w="9874" w:wrap="notBeside" w:vAnchor="text" w:hAnchor="text" w:xAlign="center" w:y="1"/>
              <w:widowControl w:val="0"/>
              <w:keepNext w:val="0"/>
              <w:keepLines w:val="0"/>
              <w:shd w:val="clear" w:color="auto" w:fill="auto"/>
              <w:bidi w:val="0"/>
              <w:jc w:val="left"/>
              <w:spacing w:before="0" w:after="0" w:line="160" w:lineRule="exact"/>
              <w:ind w:left="600" w:right="0" w:firstLine="0"/>
            </w:pPr>
            <w:r>
              <w:rPr>
                <w:rStyle w:val="CharStyle9"/>
              </w:rPr>
              <w:t>ул. Ленина, 40, г. Майкоп, 385000</w:t>
            </w:r>
          </w:p>
        </w:tc>
        <w:tc>
          <w:tcPr>
            <w:shd w:val="clear" w:color="auto" w:fill="FFFFFF"/>
            <w:tcBorders/>
            <w:vAlign w:val="top"/>
          </w:tcPr>
          <w:p>
            <w:pPr>
              <w:framePr w:w="9874" w:wrap="notBeside" w:vAnchor="text" w:hAnchor="text" w:xAlign="center" w:y="1"/>
              <w:widowControl w:val="0"/>
              <w:rPr>
                <w:sz w:val="10"/>
                <w:szCs w:val="10"/>
              </w:rPr>
            </w:pPr>
          </w:p>
        </w:tc>
        <w:tc>
          <w:tcPr>
            <w:shd w:val="clear" w:color="auto" w:fill="FFFFFF"/>
            <w:tcBorders/>
            <w:vAlign w:val="bottom"/>
          </w:tcPr>
          <w:p>
            <w:pPr>
              <w:pStyle w:val="Style3"/>
              <w:framePr w:w="9874" w:wrap="notBeside" w:vAnchor="text" w:hAnchor="text" w:xAlign="center" w:y="1"/>
              <w:widowControl w:val="0"/>
              <w:keepNext w:val="0"/>
              <w:keepLines w:val="0"/>
              <w:shd w:val="clear" w:color="auto" w:fill="auto"/>
              <w:bidi w:val="0"/>
              <w:jc w:val="left"/>
              <w:spacing w:before="0" w:after="0" w:line="160" w:lineRule="exact"/>
              <w:ind w:left="1000" w:right="0" w:firstLine="0"/>
            </w:pPr>
            <w:r>
              <w:rPr>
                <w:rStyle w:val="CharStyle9"/>
              </w:rPr>
              <w:t>Лениным иур, 40, кь. Мыекъуапэ, 385000</w:t>
            </w:r>
          </w:p>
        </w:tc>
      </w:tr>
      <w:tr>
        <w:trPr>
          <w:trHeight w:val="206" w:hRule="exact"/>
        </w:trPr>
        <w:tc>
          <w:tcPr>
            <w:shd w:val="clear" w:color="auto" w:fill="FFFFFF"/>
            <w:tcBorders/>
            <w:vAlign w:val="bottom"/>
          </w:tcPr>
          <w:p>
            <w:pPr>
              <w:pStyle w:val="Style3"/>
              <w:framePr w:w="9874" w:wrap="notBeside" w:vAnchor="text" w:hAnchor="text" w:xAlign="center" w:y="1"/>
              <w:widowControl w:val="0"/>
              <w:keepNext w:val="0"/>
              <w:keepLines w:val="0"/>
              <w:shd w:val="clear" w:color="auto" w:fill="auto"/>
              <w:bidi w:val="0"/>
              <w:jc w:val="left"/>
              <w:spacing w:before="0" w:after="0" w:line="160" w:lineRule="exact"/>
              <w:ind w:left="900" w:right="0" w:firstLine="0"/>
            </w:pPr>
            <w:r>
              <w:rPr>
                <w:rStyle w:val="CharStyle9"/>
              </w:rPr>
              <w:t>Тел./факс: (8772) 57-05-22</w:t>
            </w:r>
          </w:p>
        </w:tc>
        <w:tc>
          <w:tcPr>
            <w:shd w:val="clear" w:color="auto" w:fill="FFFFFF"/>
            <w:tcBorders/>
            <w:vAlign w:val="top"/>
          </w:tcPr>
          <w:p>
            <w:pPr>
              <w:framePr w:w="9874" w:wrap="notBeside" w:vAnchor="text" w:hAnchor="text" w:xAlign="center" w:y="1"/>
              <w:widowControl w:val="0"/>
              <w:rPr>
                <w:sz w:val="10"/>
                <w:szCs w:val="10"/>
              </w:rPr>
            </w:pPr>
          </w:p>
        </w:tc>
        <w:tc>
          <w:tcPr>
            <w:shd w:val="clear" w:color="auto" w:fill="FFFFFF"/>
            <w:tcBorders/>
            <w:vAlign w:val="bottom"/>
          </w:tcPr>
          <w:p>
            <w:pPr>
              <w:pStyle w:val="Style3"/>
              <w:framePr w:w="9874" w:wrap="notBeside" w:vAnchor="text" w:hAnchor="text" w:xAlign="center" w:y="1"/>
              <w:widowControl w:val="0"/>
              <w:keepNext w:val="0"/>
              <w:keepLines w:val="0"/>
              <w:shd w:val="clear" w:color="auto" w:fill="auto"/>
              <w:bidi w:val="0"/>
              <w:jc w:val="left"/>
              <w:spacing w:before="0" w:after="0" w:line="160" w:lineRule="exact"/>
              <w:ind w:left="1560" w:right="0" w:firstLine="0"/>
            </w:pPr>
            <w:r>
              <w:rPr>
                <w:rStyle w:val="CharStyle9"/>
              </w:rPr>
              <w:t>Тел ./факс: (8772) 57-05-22</w:t>
            </w:r>
          </w:p>
        </w:tc>
      </w:tr>
      <w:tr>
        <w:trPr>
          <w:trHeight w:val="235" w:hRule="exact"/>
        </w:trPr>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160" w:lineRule="exact"/>
              <w:ind w:left="1000" w:right="0" w:firstLine="0"/>
            </w:pPr>
            <w:r>
              <w:rPr>
                <w:rStyle w:val="CharStyle9"/>
                <w:lang w:val="en-US" w:eastAsia="en-US" w:bidi="en-US"/>
              </w:rPr>
              <w:t xml:space="preserve">e-mail: </w:t>
            </w:r>
            <w:r>
              <w:fldChar w:fldCharType="begin"/>
            </w:r>
            <w:r>
              <w:rPr>
                <w:rStyle w:val="CharStyle9"/>
              </w:rPr>
              <w:instrText> HYPERLINK "mailto:to01@fas.gov.ru" </w:instrText>
            </w:r>
            <w:r>
              <w:fldChar w:fldCharType="separate"/>
            </w:r>
            <w:r>
              <w:rPr>
                <w:rStyle w:val="Hyperlink"/>
                <w:lang w:val="en-US" w:eastAsia="en-US" w:bidi="en-US"/>
              </w:rPr>
              <w:t>to01@fas.gov.ru</w:t>
            </w:r>
            <w:r>
              <w:fldChar w:fldCharType="end"/>
            </w:r>
          </w:p>
        </w:tc>
        <w:tc>
          <w:tcPr>
            <w:shd w:val="clear" w:color="auto" w:fill="FFFFFF"/>
            <w:tcBorders/>
            <w:vAlign w:val="top"/>
          </w:tcPr>
          <w:p>
            <w:pPr>
              <w:framePr w:w="9874" w:wrap="notBeside" w:vAnchor="text" w:hAnchor="text" w:xAlign="center" w:y="1"/>
              <w:widowControl w:val="0"/>
              <w:rPr>
                <w:sz w:val="10"/>
                <w:szCs w:val="10"/>
              </w:rPr>
            </w:pPr>
          </w:p>
        </w:tc>
        <w:tc>
          <w:tcPr>
            <w:shd w:val="clear" w:color="auto" w:fill="FFFFFF"/>
            <w:tcBorders/>
            <w:vAlign w:val="top"/>
          </w:tcPr>
          <w:p>
            <w:pPr>
              <w:pStyle w:val="Style3"/>
              <w:framePr w:w="9874" w:wrap="notBeside" w:vAnchor="text" w:hAnchor="text" w:xAlign="center" w:y="1"/>
              <w:widowControl w:val="0"/>
              <w:keepNext w:val="0"/>
              <w:keepLines w:val="0"/>
              <w:shd w:val="clear" w:color="auto" w:fill="auto"/>
              <w:bidi w:val="0"/>
              <w:jc w:val="left"/>
              <w:spacing w:before="0" w:after="0" w:line="160" w:lineRule="exact"/>
              <w:ind w:left="1700" w:right="0" w:firstLine="0"/>
            </w:pPr>
            <w:r>
              <w:rPr>
                <w:rStyle w:val="CharStyle9"/>
                <w:lang w:val="en-US" w:eastAsia="en-US" w:bidi="en-US"/>
              </w:rPr>
              <w:t xml:space="preserve">e-mail: </w:t>
            </w:r>
            <w:r>
              <w:fldChar w:fldCharType="begin"/>
            </w:r>
            <w:r>
              <w:rPr>
                <w:rStyle w:val="CharStyle9"/>
              </w:rPr>
              <w:instrText> HYPERLINK "mailto:to01@fas.gov.ru" </w:instrText>
            </w:r>
            <w:r>
              <w:fldChar w:fldCharType="separate"/>
            </w:r>
            <w:r>
              <w:rPr>
                <w:rStyle w:val="Hyperlink"/>
                <w:lang w:val="en-US" w:eastAsia="en-US" w:bidi="en-US"/>
              </w:rPr>
              <w:t>to01@fas.gov.ru</w:t>
            </w:r>
            <w:r>
              <w:fldChar w:fldCharType="end"/>
            </w:r>
          </w:p>
        </w:tc>
      </w:tr>
    </w:tbl>
    <w:p>
      <w:pPr>
        <w:widowControl w:val="0"/>
        <w:rPr>
          <w:sz w:val="2"/>
          <w:szCs w:val="2"/>
        </w:rPr>
      </w:pPr>
    </w:p>
    <w:p>
      <w:pPr>
        <w:pStyle w:val="Style3"/>
        <w:tabs>
          <w:tab w:leader="none" w:pos="7202" w:val="right"/>
        </w:tabs>
        <w:widowControl w:val="0"/>
        <w:keepNext w:val="0"/>
        <w:keepLines w:val="0"/>
        <w:shd w:val="clear" w:color="auto" w:fill="auto"/>
        <w:bidi w:val="0"/>
        <w:spacing w:before="228" w:after="2" w:line="240" w:lineRule="exact"/>
        <w:ind w:left="220" w:right="0" w:firstLine="0"/>
      </w:pPr>
      <w:r>
        <w:rPr>
          <w:rStyle w:val="CharStyle10"/>
        </w:rPr>
        <w:t>/90МЛМШ</w:t>
        <w:tab/>
      </w:r>
      <w:r>
        <w:rPr>
          <w:rStyle w:val="CharStyle11"/>
        </w:rPr>
        <w:t>339</w:t>
      </w:r>
      <w:r>
        <w:rPr>
          <w:lang w:val="ru-RU" w:eastAsia="ru-RU" w:bidi="ru-RU"/>
          <w:sz w:val="24"/>
          <w:szCs w:val="24"/>
          <w:w w:val="100"/>
          <w:spacing w:val="0"/>
          <w:color w:val="000000"/>
          <w:position w:val="0"/>
        </w:rPr>
        <w:t xml:space="preserve"> ООО «ТехСтройПартнер»</w:t>
      </w:r>
    </w:p>
    <w:p>
      <w:pPr>
        <w:pStyle w:val="Style3"/>
        <w:widowControl w:val="0"/>
        <w:keepNext w:val="0"/>
        <w:keepLines w:val="0"/>
        <w:shd w:val="clear" w:color="auto" w:fill="auto"/>
        <w:bidi w:val="0"/>
        <w:jc w:val="left"/>
        <w:spacing w:before="0" w:after="22" w:line="240" w:lineRule="exact"/>
        <w:ind w:left="4120" w:right="0" w:firstLine="0"/>
      </w:pPr>
      <w:r>
        <w:rPr>
          <w:lang w:val="ru-RU" w:eastAsia="ru-RU" w:bidi="ru-RU"/>
          <w:sz w:val="24"/>
          <w:szCs w:val="24"/>
          <w:w w:val="100"/>
          <w:spacing w:val="0"/>
          <w:color w:val="000000"/>
          <w:position w:val="0"/>
        </w:rPr>
        <w:t>656016, Алтайский край, город Барнаул,</w:t>
      </w:r>
    </w:p>
    <w:p>
      <w:pPr>
        <w:pStyle w:val="Style3"/>
        <w:tabs>
          <w:tab w:leader="underscore" w:pos="1814" w:val="left"/>
          <w:tab w:leader="underscore" w:pos="4814" w:val="right"/>
          <w:tab w:leader="none" w:pos="6628" w:val="right"/>
          <w:tab w:leader="none" w:pos="7473" w:val="center"/>
          <w:tab w:leader="none" w:pos="7473" w:val="center"/>
          <w:tab w:leader="none" w:pos="8642" w:val="left"/>
        </w:tabs>
        <w:widowControl w:val="0"/>
        <w:keepNext w:val="0"/>
        <w:keepLines w:val="0"/>
        <w:shd w:val="clear" w:color="auto" w:fill="auto"/>
        <w:bidi w:val="0"/>
        <w:spacing w:before="0" w:after="12" w:line="240" w:lineRule="exact"/>
        <w:ind w:left="220" w:right="0" w:firstLine="0"/>
      </w:pPr>
      <w:r>
        <w:rPr>
          <w:rStyle w:val="CharStyle12"/>
        </w:rPr>
        <w:t>На №</w:t>
        <w:tab/>
        <w:t>от</w:t>
      </w:r>
      <w:r>
        <w:rPr>
          <w:lang w:val="ru-RU" w:eastAsia="ru-RU" w:bidi="ru-RU"/>
          <w:sz w:val="24"/>
          <w:szCs w:val="24"/>
          <w:w w:val="100"/>
          <w:spacing w:val="0"/>
          <w:color w:val="000000"/>
          <w:position w:val="0"/>
        </w:rPr>
        <w:tab/>
        <w:t xml:space="preserve"> улица</w:t>
        <w:tab/>
        <w:t>Власихинская,</w:t>
        <w:tab/>
        <w:t>дом</w:t>
        <w:tab/>
        <w:t>49/1, офис</w:t>
        <w:tab/>
        <w:t>141</w:t>
      </w:r>
    </w:p>
    <w:p>
      <w:pPr>
        <w:pStyle w:val="Style3"/>
        <w:widowControl w:val="0"/>
        <w:keepNext w:val="0"/>
        <w:keepLines w:val="0"/>
        <w:shd w:val="clear" w:color="auto" w:fill="auto"/>
        <w:bidi w:val="0"/>
        <w:jc w:val="left"/>
        <w:spacing w:before="0" w:after="306" w:line="240" w:lineRule="exact"/>
        <w:ind w:left="41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p>
    <w:p>
      <w:pPr>
        <w:pStyle w:val="Style3"/>
        <w:widowControl w:val="0"/>
        <w:keepNext w:val="0"/>
        <w:keepLines w:val="0"/>
        <w:shd w:val="clear" w:color="auto" w:fill="auto"/>
        <w:bidi w:val="0"/>
        <w:jc w:val="left"/>
        <w:spacing w:before="0" w:after="173" w:line="317" w:lineRule="exact"/>
        <w:ind w:left="4120" w:right="20" w:firstLine="0"/>
      </w:pPr>
      <w:r>
        <w:rPr>
          <w:lang w:val="ru-RU" w:eastAsia="ru-RU" w:bidi="ru-RU"/>
          <w:sz w:val="24"/>
          <w:szCs w:val="24"/>
          <w:w w:val="100"/>
          <w:spacing w:val="0"/>
          <w:color w:val="000000"/>
          <w:position w:val="0"/>
        </w:rPr>
        <w:t xml:space="preserve">Администрации МО «Тахтамукайский район» 385100, Тахтамукайский район, аул Тахтамукай, улица Гагарина, 2 </w:t>
      </w:r>
      <w:r>
        <w:rPr>
          <w:lang w:val="en-US" w:eastAsia="en-US" w:bidi="en-US"/>
          <w:sz w:val="24"/>
          <w:szCs w:val="24"/>
          <w:w w:val="100"/>
          <w:spacing w:val="0"/>
          <w:color w:val="000000"/>
          <w:position w:val="0"/>
        </w:rPr>
        <w:t xml:space="preserve">E-mail: </w:t>
      </w:r>
      <w:r>
        <w:fldChar w:fldCharType="begin"/>
      </w:r>
      <w:r>
        <w:rPr>
          <w:color w:val="000000"/>
        </w:rPr>
        <w:instrText> HYPERLINK "mailto:tahtamukay@mail.ru" </w:instrText>
      </w:r>
      <w:r>
        <w:fldChar w:fldCharType="separate"/>
      </w:r>
      <w:r>
        <w:rPr>
          <w:rStyle w:val="Hyperlink"/>
          <w:lang w:val="en-US" w:eastAsia="en-US" w:bidi="en-US"/>
          <w:sz w:val="24"/>
          <w:szCs w:val="24"/>
          <w:w w:val="100"/>
          <w:spacing w:val="0"/>
          <w:position w:val="0"/>
        </w:rPr>
        <w:t>tahtamukay@mail.ru</w:t>
      </w:r>
      <w:r>
        <w:fldChar w:fldCharType="end"/>
      </w:r>
    </w:p>
    <w:p>
      <w:pPr>
        <w:pStyle w:val="Style3"/>
        <w:widowControl w:val="0"/>
        <w:keepNext w:val="0"/>
        <w:keepLines w:val="0"/>
        <w:shd w:val="clear" w:color="auto" w:fill="auto"/>
        <w:bidi w:val="0"/>
        <w:jc w:val="left"/>
        <w:spacing w:before="0" w:after="0" w:line="326" w:lineRule="exact"/>
        <w:ind w:left="4120" w:right="20" w:firstLine="0"/>
      </w:pPr>
      <w:r>
        <w:rPr>
          <w:lang w:val="ru-RU" w:eastAsia="ru-RU" w:bidi="ru-RU"/>
          <w:sz w:val="24"/>
          <w:szCs w:val="24"/>
          <w:w w:val="100"/>
          <w:spacing w:val="0"/>
          <w:color w:val="000000"/>
          <w:position w:val="0"/>
        </w:rPr>
        <w:t>Оператор электронной площадки АО «Сбербанк - АСТ»</w:t>
      </w:r>
    </w:p>
    <w:p>
      <w:pPr>
        <w:pStyle w:val="Style3"/>
        <w:widowControl w:val="0"/>
        <w:keepNext w:val="0"/>
        <w:keepLines w:val="0"/>
        <w:shd w:val="clear" w:color="auto" w:fill="auto"/>
        <w:bidi w:val="0"/>
        <w:jc w:val="left"/>
        <w:spacing w:before="0" w:after="476" w:line="317" w:lineRule="exact"/>
        <w:ind w:left="4120" w:right="20" w:firstLine="0"/>
      </w:pPr>
      <w:r>
        <w:rPr>
          <w:lang w:val="ru-RU" w:eastAsia="ru-RU" w:bidi="ru-RU"/>
          <w:sz w:val="24"/>
          <w:szCs w:val="24"/>
          <w:w w:val="100"/>
          <w:spacing w:val="0"/>
          <w:color w:val="000000"/>
          <w:position w:val="0"/>
        </w:rPr>
        <w:t xml:space="preserve">1 19435, город Москва, Большой Саввинский переулок, дом 12, строение 9 Е </w:t>
      </w:r>
      <w:r>
        <w:rPr>
          <w:lang w:val="en-US" w:eastAsia="en-US" w:bidi="en-US"/>
          <w:sz w:val="24"/>
          <w:szCs w:val="24"/>
          <w:w w:val="100"/>
          <w:spacing w:val="0"/>
          <w:color w:val="000000"/>
          <w:position w:val="0"/>
        </w:rPr>
        <w:t xml:space="preserv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3"/>
        <w:widowControl w:val="0"/>
        <w:keepNext w:val="0"/>
        <w:keepLines w:val="0"/>
        <w:shd w:val="clear" w:color="auto" w:fill="auto"/>
        <w:bidi w:val="0"/>
        <w:jc w:val="center"/>
        <w:spacing w:before="0" w:after="0" w:line="322" w:lineRule="exact"/>
        <w:ind w:left="0" w:right="20" w:firstLine="0"/>
      </w:pPr>
      <w:r>
        <w:rPr>
          <w:lang w:val="ru-RU" w:eastAsia="ru-RU" w:bidi="ru-RU"/>
          <w:sz w:val="24"/>
          <w:szCs w:val="24"/>
          <w:w w:val="100"/>
          <w:spacing w:val="0"/>
          <w:color w:val="000000"/>
          <w:position w:val="0"/>
        </w:rPr>
        <w:t>РЕШЕНИЕ</w:t>
      </w:r>
    </w:p>
    <w:p>
      <w:pPr>
        <w:pStyle w:val="Style3"/>
        <w:widowControl w:val="0"/>
        <w:keepNext w:val="0"/>
        <w:keepLines w:val="0"/>
        <w:shd w:val="clear" w:color="auto" w:fill="auto"/>
        <w:bidi w:val="0"/>
        <w:jc w:val="center"/>
        <w:spacing w:before="0" w:after="125" w:line="322" w:lineRule="exact"/>
        <w:ind w:left="0" w:right="20" w:firstLine="0"/>
      </w:pPr>
      <w:r>
        <w:rPr>
          <w:lang w:val="ru-RU" w:eastAsia="ru-RU" w:bidi="ru-RU"/>
          <w:sz w:val="24"/>
          <w:szCs w:val="24"/>
          <w:w w:val="100"/>
          <w:spacing w:val="0"/>
          <w:color w:val="000000"/>
          <w:position w:val="0"/>
        </w:rPr>
        <w:t>по делу №001/06/64-64/2021 о нарушении законодательства о контрактной системе в сфере закупок</w:t>
      </w:r>
    </w:p>
    <w:p>
      <w:pPr>
        <w:pStyle w:val="Style3"/>
        <w:tabs>
          <w:tab w:leader="none" w:pos="8617" w:val="right"/>
          <w:tab w:leader="none" w:pos="8786" w:val="left"/>
        </w:tabs>
        <w:widowControl w:val="0"/>
        <w:keepNext w:val="0"/>
        <w:keepLines w:val="0"/>
        <w:shd w:val="clear" w:color="auto" w:fill="auto"/>
        <w:bidi w:val="0"/>
        <w:spacing w:before="0" w:after="67" w:line="240" w:lineRule="exact"/>
        <w:ind w:left="20" w:right="0" w:firstLine="0"/>
      </w:pPr>
      <w:r>
        <w:rPr>
          <w:lang w:val="ru-RU" w:eastAsia="ru-RU" w:bidi="ru-RU"/>
          <w:sz w:val="24"/>
          <w:szCs w:val="24"/>
          <w:w w:val="100"/>
          <w:spacing w:val="0"/>
          <w:color w:val="000000"/>
          <w:position w:val="0"/>
        </w:rPr>
        <w:t>19 февраля 2021 года</w:t>
        <w:tab/>
        <w:t>г.</w:t>
        <w:tab/>
        <w:t>Майкоп</w:t>
      </w:r>
    </w:p>
    <w:p>
      <w:pPr>
        <w:pStyle w:val="Style3"/>
        <w:widowControl w:val="0"/>
        <w:keepNext w:val="0"/>
        <w:keepLines w:val="0"/>
        <w:shd w:val="clear" w:color="auto" w:fill="auto"/>
        <w:bidi w:val="0"/>
        <w:jc w:val="left"/>
        <w:spacing w:before="0" w:after="64" w:line="322" w:lineRule="exact"/>
        <w:ind w:left="20" w:right="4220" w:firstLine="0"/>
      </w:pPr>
      <w:r>
        <w:rPr>
          <w:lang w:val="ru-RU" w:eastAsia="ru-RU" w:bidi="ru-RU"/>
          <w:sz w:val="24"/>
          <w:szCs w:val="24"/>
          <w:w w:val="100"/>
          <w:spacing w:val="0"/>
          <w:color w:val="000000"/>
          <w:position w:val="0"/>
        </w:rPr>
        <w:t>Резолютивная часть оглашена: 17.02.2021 Решение в полном объеме изготовлено: 19.02.2021</w:t>
      </w:r>
    </w:p>
    <w:p>
      <w:pPr>
        <w:pStyle w:val="Style3"/>
        <w:widowControl w:val="0"/>
        <w:keepNext w:val="0"/>
        <w:keepLines w:val="0"/>
        <w:shd w:val="clear" w:color="auto" w:fill="auto"/>
        <w:bidi w:val="0"/>
        <w:spacing w:before="0" w:after="210" w:line="317" w:lineRule="exact"/>
        <w:ind w:left="20" w:right="20" w:firstLine="640"/>
      </w:pPr>
      <w:r>
        <w:rPr>
          <w:lang w:val="ru-RU" w:eastAsia="ru-RU" w:bidi="ru-RU"/>
          <w:sz w:val="24"/>
          <w:szCs w:val="24"/>
          <w:w w:val="100"/>
          <w:spacing w:val="0"/>
          <w:color w:val="000000"/>
          <w:position w:val="0"/>
        </w:rPr>
        <w:t xml:space="preserve">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Женетля А.Ш., заместителя руководителя, членов Комиссии УФАС: Вдовиной О.Ю., начальника отдела, Блягоза Р.Х. и Пшизова М.А., ведущих специалистов-экспертов Управления, с участием представителей Заказчика - Администрации МО «Тахтамукайский район» (далее - Заказчик) Бешкок Е.А. и Савв </w:t>
      </w:r>
      <w:r>
        <w:rPr>
          <w:lang w:val="en-US" w:eastAsia="en-US" w:bidi="en-US"/>
          <w:sz w:val="24"/>
          <w:szCs w:val="24"/>
          <w:w w:val="100"/>
          <w:spacing w:val="0"/>
          <w:color w:val="000000"/>
          <w:position w:val="0"/>
        </w:rPr>
        <w:t xml:space="preserve">JI.B. </w:t>
      </w:r>
      <w:r>
        <w:rPr>
          <w:lang w:val="ru-RU" w:eastAsia="ru-RU" w:bidi="ru-RU"/>
          <w:sz w:val="24"/>
          <w:szCs w:val="24"/>
          <w:w w:val="100"/>
          <w:spacing w:val="0"/>
          <w:color w:val="000000"/>
          <w:position w:val="0"/>
        </w:rPr>
        <w:t>(доверенность от 17.02.2021), рассмотрев жалобу Заявителя - ООО «ТехСтройПартнер» (далее - Заявитель) на положения документации электронного аукциона на выполнение работ по строительству объекта: «Дом культуры в а.Псейтук по ул.Шапсугской», расположенный по адресу: Республика Адыгея, Тахтамукайский район, а. Псейтук, ул. Шапсугская, 16 (извещение №0176300007621000004) (национальный проект «Культура») (далее - Аукцион),</w:t>
      </w:r>
    </w:p>
    <w:p>
      <w:pPr>
        <w:pStyle w:val="Style13"/>
        <w:widowControl w:val="0"/>
        <w:keepNext/>
        <w:keepLines/>
        <w:shd w:val="clear" w:color="auto" w:fill="auto"/>
        <w:bidi w:val="0"/>
        <w:jc w:val="left"/>
        <w:spacing w:before="0" w:after="0" w:line="280" w:lineRule="exact"/>
        <w:ind w:left="8180" w:right="0" w:firstLine="0"/>
      </w:pPr>
      <w:bookmarkStart w:id="0" w:name="bookmark0"/>
      <w:r>
        <w:rPr>
          <w:lang w:val="ru-RU" w:eastAsia="ru-RU" w:bidi="ru-RU"/>
          <w:w w:val="100"/>
          <w:spacing w:val="0"/>
          <w:color w:val="000000"/>
          <w:position w:val="0"/>
        </w:rPr>
        <w:t>О 4 8 0 7 3</w:t>
      </w:r>
      <w:bookmarkEnd w:id="0"/>
    </w:p>
    <w:p>
      <w:pPr>
        <w:pStyle w:val="Style3"/>
        <w:widowControl w:val="0"/>
        <w:keepNext w:val="0"/>
        <w:keepLines w:val="0"/>
        <w:shd w:val="clear" w:color="auto" w:fill="auto"/>
        <w:bidi w:val="0"/>
        <w:spacing w:before="0" w:after="129" w:line="326" w:lineRule="exact"/>
        <w:ind w:left="20" w:right="20" w:firstLine="0"/>
      </w:pPr>
      <w:r>
        <w:rPr>
          <w:lang w:val="ru-RU" w:eastAsia="ru-RU" w:bidi="ru-RU"/>
          <w:sz w:val="24"/>
          <w:szCs w:val="24"/>
          <w:w w:val="100"/>
          <w:spacing w:val="0"/>
          <w:color w:val="000000"/>
          <w:position w:val="0"/>
        </w:rPr>
        <w:t>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3"/>
        <w:widowControl w:val="0"/>
        <w:keepNext w:val="0"/>
        <w:keepLines w:val="0"/>
        <w:shd w:val="clear" w:color="auto" w:fill="auto"/>
        <w:bidi w:val="0"/>
        <w:jc w:val="left"/>
        <w:spacing w:before="0" w:after="77" w:line="240" w:lineRule="exact"/>
        <w:ind w:left="442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В Управление Федеральной антимонопольной службы по Республике Адыгея (далее - Адыгейское УФАС России) 10.02.2021 поступила жалоба Заявителя, в которой указано, что положения Аукционной документации не соответствуют Закону о контрактной системе по следующим основаниям:</w:t>
      </w:r>
    </w:p>
    <w:p>
      <w:pPr>
        <w:pStyle w:val="Style3"/>
        <w:numPr>
          <w:ilvl w:val="0"/>
          <w:numId w:val="1"/>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Проект контракта не содержит условие о том, что результатом выполненной работы по контракту является реконструированный объект капитального строительства, в отношении которого получено заключение органа государственного строительного надзора.</w:t>
      </w:r>
    </w:p>
    <w:p>
      <w:pPr>
        <w:pStyle w:val="Style3"/>
        <w:numPr>
          <w:ilvl w:val="0"/>
          <w:numId w:val="1"/>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График выполнения строительно-монтажных работ не содержит требования Методики составления график выполнения строительно-монтажных работ и график оплаты выполненных по договору, предметом которого является строительство, реконструкция, капитальный ремонт объектов капитального строительства работ, утвержденной приказом Минстроя 05.06.2018 №336/пр.</w:t>
      </w:r>
    </w:p>
    <w:p>
      <w:pPr>
        <w:pStyle w:val="Style3"/>
        <w:numPr>
          <w:ilvl w:val="0"/>
          <w:numId w:val="1"/>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Аукционная документация не содержит проект сметы контракта в соответствии с приказом Министерства строительства и жилищно-коммунального хозяйства Российской Федерации от 23.12.2019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№841/пр).</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На основании изложенного Заявитель просит приостановить размещение закупки, провести внеплановую проверку, обязать Заказчика привести документацию в соответствие с законодательством, продлить срок подачи заявок, привлечь к ответственности виновных лиц.</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Заказчик представил возражение на жалобу от 16.02.2021, в котором просил признать жалобу необоснованной.</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Заказчиком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02.02.2021 размещены извещение о проведении закупки и документация Аукциона.</w:t>
      </w:r>
    </w:p>
    <w:p>
      <w:pPr>
        <w:pStyle w:val="Style3"/>
        <w:widowControl w:val="0"/>
        <w:keepNext w:val="0"/>
        <w:keepLines w:val="0"/>
        <w:shd w:val="clear" w:color="auto" w:fill="auto"/>
        <w:bidi w:val="0"/>
        <w:spacing w:before="0" w:after="0" w:line="322" w:lineRule="exact"/>
        <w:ind w:left="20" w:right="0" w:firstLine="640"/>
      </w:pPr>
      <w:r>
        <w:rPr>
          <w:lang w:val="ru-RU" w:eastAsia="ru-RU" w:bidi="ru-RU"/>
          <w:sz w:val="24"/>
          <w:szCs w:val="24"/>
          <w:w w:val="100"/>
          <w:spacing w:val="0"/>
          <w:color w:val="000000"/>
          <w:position w:val="0"/>
        </w:rPr>
        <w:t>Начальная (максимальная) цена контракта - 40 348 420,00 руб.</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Источник финансирования - средства местного бюджета МО «Тахтамукайский район».</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Аукционная документация утверждена заместителем главы администрации МО «Тахтамукайский район» Баговой С.А. - 01.02.2021.</w:t>
      </w:r>
    </w:p>
    <w:p>
      <w:pPr>
        <w:pStyle w:val="Style3"/>
        <w:numPr>
          <w:ilvl w:val="0"/>
          <w:numId w:val="3"/>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Согласно части 4 статьи 110.2 Закона о контрактной системе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Законодательством Российской Федерации о контрактной системе в сфере закупок не предусмотрено включение заказчиком в проект контракта, предметом которого является строительство, реконструкция объекта капитального строительства, положений части 4 статьи 110.2 Закона о контрактной системе.</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Вместе с тем, в пункте 1.7 Проекта контракта установлено следующее: «Обязательства Подрядчика по строительству Объекта в соответствии с настоящим Контрактом признаются выполненными при получении Заказчиком заключения органа государственного строительного надзора о соответствии Объекта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pPr>
        <w:pStyle w:val="Style3"/>
        <w:widowControl w:val="0"/>
        <w:keepNext w:val="0"/>
        <w:keepLines w:val="0"/>
        <w:shd w:val="clear" w:color="auto" w:fill="auto"/>
        <w:bidi w:val="0"/>
        <w:spacing w:before="0" w:after="0" w:line="322" w:lineRule="exact"/>
        <w:ind w:left="20" w:right="0" w:firstLine="640"/>
      </w:pPr>
      <w:r>
        <w:rPr>
          <w:lang w:val="ru-RU" w:eastAsia="ru-RU" w:bidi="ru-RU"/>
          <w:sz w:val="24"/>
          <w:szCs w:val="24"/>
          <w:w w:val="100"/>
          <w:spacing w:val="0"/>
          <w:color w:val="000000"/>
          <w:position w:val="0"/>
        </w:rPr>
        <w:t xml:space="preserve">Таким образом, жалоба в данной части является </w:t>
      </w:r>
      <w:r>
        <w:rPr>
          <w:rStyle w:val="CharStyle15"/>
        </w:rPr>
        <w:t>необоснованной.</w:t>
      </w:r>
    </w:p>
    <w:p>
      <w:pPr>
        <w:pStyle w:val="Style3"/>
        <w:numPr>
          <w:ilvl w:val="0"/>
          <w:numId w:val="3"/>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В силу части 6 статьи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В соответствии с частью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sz w:val="24"/>
          <w:szCs w:val="24"/>
          <w:w w:val="100"/>
          <w:spacing w:val="0"/>
          <w:color w:val="000000"/>
          <w:position w:val="0"/>
        </w:rPr>
        <w:t>исполнительной власти.</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Пунктом 1.4. Методики составления графика выполнения строительно</w:t>
        <w:softHyphen/>
        <w:t xml:space="preserve">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утвержденной приказом Министерства строительства и жилищно-коммунального хозяйства РФ от 5 июня 2018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336/пр (далее - Методика) установлено, что проекты графика выполнения работ и графика оплаты выполненных работ составляются заказчиком одновременно с проектом контракта, являются его приложением и размещаются заказчиком в единой информационной системе в сфере закупок вместе с документацией об осуществлении закупки, извещением о закупке.</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Пунктом 2.9. Методики установлено, что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состоятся следующие события:</w:t>
      </w:r>
    </w:p>
    <w:p>
      <w:pPr>
        <w:pStyle w:val="Style3"/>
        <w:numPr>
          <w:ilvl w:val="0"/>
          <w:numId w:val="5"/>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pPr>
        <w:pStyle w:val="Style3"/>
        <w:numPr>
          <w:ilvl w:val="0"/>
          <w:numId w:val="5"/>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p>
    <w:p>
      <w:pPr>
        <w:pStyle w:val="Style3"/>
        <w:numPr>
          <w:ilvl w:val="0"/>
          <w:numId w:val="5"/>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pPr>
        <w:pStyle w:val="Style3"/>
        <w:numPr>
          <w:ilvl w:val="0"/>
          <w:numId w:val="5"/>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pPr>
        <w:pStyle w:val="Style3"/>
        <w:numPr>
          <w:ilvl w:val="0"/>
          <w:numId w:val="5"/>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подписание акта о соответствии состояния земельного участка условиям контракта при завершении строительства, реконструкции объекта.</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Комиссией УФАС установлено, что Приложение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 к Контракту содержит График выполнения строительно-монтажных работ.</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Вместе с тем, в нарушение </w:t>
      </w:r>
      <w:r>
        <w:rPr>
          <w:rStyle w:val="CharStyle15"/>
        </w:rPr>
        <w:t xml:space="preserve">части 6 статьи 110.2 </w:t>
      </w:r>
      <w:r>
        <w:rPr>
          <w:lang w:val="ru-RU" w:eastAsia="ru-RU" w:bidi="ru-RU"/>
          <w:sz w:val="24"/>
          <w:szCs w:val="24"/>
          <w:w w:val="100"/>
          <w:spacing w:val="0"/>
          <w:color w:val="000000"/>
          <w:position w:val="0"/>
        </w:rPr>
        <w:t xml:space="preserve">Закона о контрактной системе указанный график не содержит вышеуказанных положений Методики, следовательно, жалоба в данной части является </w:t>
      </w:r>
      <w:r>
        <w:rPr>
          <w:rStyle w:val="CharStyle15"/>
        </w:rPr>
        <w:t>обоснованной.</w:t>
      </w:r>
    </w:p>
    <w:p>
      <w:pPr>
        <w:pStyle w:val="Style3"/>
        <w:numPr>
          <w:ilvl w:val="0"/>
          <w:numId w:val="3"/>
        </w:numPr>
        <w:tabs>
          <w:tab w:leader="none" w:pos="1018" w:val="left"/>
        </w:tabs>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В соответствии с частью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3"/>
        <w:widowControl w:val="0"/>
        <w:keepNext w:val="0"/>
        <w:keepLines w:val="0"/>
        <w:shd w:val="clear" w:color="auto" w:fill="auto"/>
        <w:bidi w:val="0"/>
        <w:spacing w:before="0" w:after="0" w:line="317" w:lineRule="exact"/>
        <w:ind w:left="20" w:right="20" w:firstLine="640"/>
      </w:pPr>
      <w:r>
        <w:rPr>
          <w:lang w:val="ru-RU" w:eastAsia="ru-RU" w:bidi="ru-RU"/>
          <w:sz w:val="24"/>
          <w:szCs w:val="24"/>
          <w:w w:val="100"/>
          <w:spacing w:val="0"/>
          <w:color w:val="000000"/>
          <w:position w:val="0"/>
        </w:rPr>
        <w:t xml:space="preserve">Пунктом 29 Приказа №841/пр установлено,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w:t>
      </w:r>
      <w:r>
        <w:rPr>
          <w:rStyle w:val="CharStyle16"/>
        </w:rPr>
        <w:t xml:space="preserve">нормативов, сведения о которых включены в федеральный реестр сметных </w:t>
      </w:r>
      <w:r>
        <w:rPr>
          <w:lang w:val="ru-RU" w:eastAsia="ru-RU" w:bidi="ru-RU"/>
          <w:sz w:val="24"/>
          <w:szCs w:val="24"/>
          <w:w w:val="100"/>
          <w:spacing w:val="0"/>
          <w:color w:val="000000"/>
          <w:position w:val="0"/>
        </w:rPr>
        <w:t>нормативов, и сметных цен строительных ресурсов.</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Комиссией УФАС установлено, что Аукционная документация содержит проект сметы контракта, следовательно, жалоба в данной части является </w:t>
      </w:r>
      <w:r>
        <w:rPr>
          <w:rStyle w:val="CharStyle15"/>
        </w:rPr>
        <w:t>необоснованной.</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В ходе проведения внеплановой проверки Комиссия УФАС установила следующее.</w:t>
      </w:r>
    </w:p>
    <w:p>
      <w:pPr>
        <w:pStyle w:val="Style3"/>
        <w:numPr>
          <w:ilvl w:val="0"/>
          <w:numId w:val="7"/>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Согласно пункту 1 части 1 статьи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настоящей статьи,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w:t>
      </w:r>
      <w:r>
        <w:rPr>
          <w:rStyle w:val="CharStyle15"/>
        </w:rPr>
        <w:t>При этом начальная (максимальная) цена контракта не должна превышать двадцать миллионов рублей.</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Начальная (максимальная) цена контракта данной закупки составляет более 20 миллионов рублей.</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Вместе с тем, в пункте 33 Информационной карты и в извещении установлено следующее: </w:t>
      </w:r>
      <w:r>
        <w:rPr>
          <w:rStyle w:val="CharStyle15"/>
        </w:rPr>
        <w:t xml:space="preserve">«участниками аукциона в электронной форме могут быть только субъекты малого предпринимательства, </w:t>
      </w:r>
      <w:r>
        <w:rPr>
          <w:lang w:val="ru-RU" w:eastAsia="ru-RU" w:bidi="ru-RU"/>
          <w:sz w:val="24"/>
          <w:szCs w:val="24"/>
          <w:w w:val="100"/>
          <w:spacing w:val="0"/>
          <w:color w:val="000000"/>
          <w:position w:val="0"/>
        </w:rPr>
        <w:t xml:space="preserve">соответствующие требованиям, установленным ч. 1 ст. 4 Федерального закона от 24 июля 2007г.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209-ФЗ "О развитии малого и среднего предпринимательства в Российской Федерации" и </w:t>
      </w:r>
      <w:r>
        <w:rPr>
          <w:rStyle w:val="CharStyle15"/>
        </w:rPr>
        <w:t xml:space="preserve">социально ориентированные некоммерческие организации </w:t>
      </w:r>
      <w:r>
        <w:rPr>
          <w:lang w:val="ru-RU" w:eastAsia="ru-RU" w:bidi="ru-RU"/>
          <w:sz w:val="24"/>
          <w:szCs w:val="24"/>
          <w:w w:val="100"/>
          <w:spacing w:val="0"/>
          <w:color w:val="000000"/>
          <w:position w:val="0"/>
        </w:rPr>
        <w:t xml:space="preserve">(за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 1 ст. 31.1 Федерального закона от 12 января 1996 года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7-ФЗ "О некоммерческих организациях"».</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Таким образом, в действиях Заказчика усматривается нарушение </w:t>
      </w:r>
      <w:r>
        <w:rPr>
          <w:rStyle w:val="CharStyle15"/>
        </w:rPr>
        <w:t xml:space="preserve">пункта 1 части 1 статьи 30 </w:t>
      </w:r>
      <w:r>
        <w:rPr>
          <w:lang w:val="ru-RU" w:eastAsia="ru-RU" w:bidi="ru-RU"/>
          <w:sz w:val="24"/>
          <w:szCs w:val="24"/>
          <w:w w:val="100"/>
          <w:spacing w:val="0"/>
          <w:color w:val="000000"/>
          <w:position w:val="0"/>
        </w:rPr>
        <w:t>Закона о контрактной системе.</w:t>
      </w:r>
    </w:p>
    <w:p>
      <w:pPr>
        <w:pStyle w:val="Style3"/>
        <w:numPr>
          <w:ilvl w:val="0"/>
          <w:numId w:val="7"/>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В соответствии с частью 4 статьи 55.17 ГрК РФ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w:t>
      </w:r>
      <w:r>
        <w:rPr>
          <w:rStyle w:val="CharStyle15"/>
        </w:rPr>
        <w:t>Срок действия выписки из реестра членов саморегулируемой организации составляет один месяц с даты ее выдачи.</w:t>
      </w:r>
    </w:p>
    <w:p>
      <w:pPr>
        <w:pStyle w:val="Style3"/>
        <w:tabs>
          <w:tab w:leader="none" w:pos="1508" w:val="left"/>
        </w:tabs>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Пунктом 35 Информационной карты установлено, что вторая часть заявки на участие в электронном аукционе должна содержать следующие документы и сведения:</w:t>
        <w:tab/>
        <w:t>документы, подтверждающий соответствие участника аукциона</w:t>
      </w:r>
    </w:p>
    <w:p>
      <w:pPr>
        <w:pStyle w:val="Style3"/>
        <w:widowControl w:val="0"/>
        <w:keepNext w:val="0"/>
        <w:keepLines w:val="0"/>
        <w:shd w:val="clear" w:color="auto" w:fill="auto"/>
        <w:bidi w:val="0"/>
        <w:spacing w:before="0" w:after="0" w:line="322" w:lineRule="exact"/>
        <w:ind w:left="20" w:right="20" w:firstLine="0"/>
      </w:pPr>
      <w:r>
        <w:rPr>
          <w:lang w:val="ru-RU" w:eastAsia="ru-RU" w:bidi="ru-RU"/>
          <w:sz w:val="24"/>
          <w:szCs w:val="24"/>
          <w:w w:val="100"/>
          <w:spacing w:val="0"/>
          <w:color w:val="000000"/>
          <w:position w:val="0"/>
        </w:rPr>
        <w:t>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-копия действующей выписки из реестра членов СРО по форме, утвержденной Приказом Федеральной службы по экологическому, технологическому и атомному надзору от 4 марта 2019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86 "Об утверждении формы выписки из реестра членов саморегулируемой организации" и </w:t>
      </w:r>
      <w:r>
        <w:rPr>
          <w:rStyle w:val="CharStyle15"/>
        </w:rPr>
        <w:t>выданной не более чем за один месяц до даты подачи участником заявки на участие в закупке.</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Учитывая, что законодательством Российской Федерации о контрактной системе в сфере закупок не предусмотрено, что выписка из реестра членов саморегулируемой организации должна быть выдана не ранее чем за один месяц до даты подачи заявки участником закупки, вышеуказанное требование к сроку выдачи выписки не соответствует положениям Закона о контрактной системе, а также положения Градостроительного кодекса, в связи с чем действия Заказчика, установившего в документации об Аукционе вышеуказанное требование к содержанию заявки на участие в Аукционе, не соответствует </w:t>
      </w:r>
      <w:r>
        <w:rPr>
          <w:rStyle w:val="CharStyle15"/>
        </w:rPr>
        <w:t xml:space="preserve">части 6 статьи 66 </w:t>
      </w:r>
      <w:r>
        <w:rPr>
          <w:lang w:val="ru-RU" w:eastAsia="ru-RU" w:bidi="ru-RU"/>
          <w:sz w:val="24"/>
          <w:szCs w:val="24"/>
          <w:w w:val="100"/>
          <w:spacing w:val="0"/>
          <w:color w:val="000000"/>
          <w:position w:val="0"/>
        </w:rPr>
        <w:t xml:space="preserve">Закона о контрактной системе, нарушает </w:t>
      </w:r>
      <w:r>
        <w:rPr>
          <w:rStyle w:val="CharStyle15"/>
        </w:rPr>
        <w:t xml:space="preserve">пункт 2 части 1 статьи 64 </w:t>
      </w:r>
      <w:r>
        <w:rPr>
          <w:lang w:val="ru-RU" w:eastAsia="ru-RU" w:bidi="ru-RU"/>
          <w:sz w:val="24"/>
          <w:szCs w:val="24"/>
          <w:w w:val="100"/>
          <w:spacing w:val="0"/>
          <w:color w:val="000000"/>
          <w:position w:val="0"/>
        </w:rPr>
        <w:t>Закона о контрактной системе.</w:t>
      </w:r>
    </w:p>
    <w:p>
      <w:pPr>
        <w:pStyle w:val="Style3"/>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Вышеуказанные нарушения содержат признаки состава административного правонарушения, предусмотренного </w:t>
      </w:r>
      <w:r>
        <w:rPr>
          <w:rStyle w:val="CharStyle15"/>
        </w:rPr>
        <w:t xml:space="preserve">частью </w:t>
      </w:r>
      <w:r>
        <w:rPr>
          <w:lang w:val="ru-RU" w:eastAsia="ru-RU" w:bidi="ru-RU"/>
          <w:sz w:val="24"/>
          <w:szCs w:val="24"/>
          <w:w w:val="100"/>
          <w:spacing w:val="0"/>
          <w:color w:val="000000"/>
          <w:position w:val="0"/>
        </w:rPr>
        <w:t xml:space="preserve">4.2 </w:t>
      </w:r>
      <w:r>
        <w:rPr>
          <w:rStyle w:val="CharStyle15"/>
        </w:rPr>
        <w:t xml:space="preserve">статьи </w:t>
      </w:r>
      <w:r>
        <w:rPr>
          <w:lang w:val="ru-RU" w:eastAsia="ru-RU" w:bidi="ru-RU"/>
          <w:sz w:val="24"/>
          <w:szCs w:val="24"/>
          <w:w w:val="100"/>
          <w:spacing w:val="0"/>
          <w:color w:val="000000"/>
          <w:position w:val="0"/>
        </w:rPr>
        <w:t>7.30 КоАП РФ.</w:t>
      </w:r>
    </w:p>
    <w:p>
      <w:pPr>
        <w:pStyle w:val="Style3"/>
        <w:widowControl w:val="0"/>
        <w:keepNext w:val="0"/>
        <w:keepLines w:val="0"/>
        <w:shd w:val="clear" w:color="auto" w:fill="auto"/>
        <w:bidi w:val="0"/>
        <w:spacing w:before="0" w:after="125" w:line="322" w:lineRule="exact"/>
        <w:ind w:left="20" w:right="20" w:firstLine="64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3"/>
        <w:widowControl w:val="0"/>
        <w:keepNext w:val="0"/>
        <w:keepLines w:val="0"/>
        <w:shd w:val="clear" w:color="auto" w:fill="auto"/>
        <w:bidi w:val="0"/>
        <w:jc w:val="left"/>
        <w:spacing w:before="0" w:after="77" w:line="240" w:lineRule="exact"/>
        <w:ind w:left="4780" w:right="0" w:firstLine="0"/>
      </w:pPr>
      <w:r>
        <w:rPr>
          <w:lang w:val="ru-RU" w:eastAsia="ru-RU" w:bidi="ru-RU"/>
          <w:sz w:val="24"/>
          <w:szCs w:val="24"/>
          <w:w w:val="100"/>
          <w:spacing w:val="0"/>
          <w:color w:val="000000"/>
          <w:position w:val="0"/>
        </w:rPr>
        <w:t>РЕШИЛА:</w:t>
      </w:r>
    </w:p>
    <w:p>
      <w:pPr>
        <w:pStyle w:val="Style3"/>
        <w:numPr>
          <w:ilvl w:val="0"/>
          <w:numId w:val="9"/>
        </w:numPr>
        <w:widowControl w:val="0"/>
        <w:keepNext w:val="0"/>
        <w:keepLines w:val="0"/>
        <w:shd w:val="clear" w:color="auto" w:fill="auto"/>
        <w:bidi w:val="0"/>
        <w:spacing w:before="0" w:after="0" w:line="322" w:lineRule="exact"/>
        <w:ind w:left="20" w:right="0" w:firstLine="640"/>
      </w:pPr>
      <w:r>
        <w:rPr>
          <w:lang w:val="ru-RU" w:eastAsia="ru-RU" w:bidi="ru-RU"/>
          <w:sz w:val="24"/>
          <w:szCs w:val="24"/>
          <w:w w:val="100"/>
          <w:spacing w:val="0"/>
          <w:color w:val="000000"/>
          <w:position w:val="0"/>
        </w:rPr>
        <w:t xml:space="preserve"> Признать жалобу ООО «ТехСтройПартнер» частично обоснованной.</w:t>
      </w:r>
    </w:p>
    <w:p>
      <w:pPr>
        <w:pStyle w:val="Style3"/>
        <w:numPr>
          <w:ilvl w:val="0"/>
          <w:numId w:val="9"/>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Признать в действиях Заказчика нарушение пункта части 1 статьи 30, пункта 2 части 1 статьи 64, части 6 статьи 110.2 Закона о контрактной системе</w:t>
      </w:r>
    </w:p>
    <w:p>
      <w:pPr>
        <w:pStyle w:val="Style3"/>
        <w:numPr>
          <w:ilvl w:val="0"/>
          <w:numId w:val="9"/>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Выдать Заказчику, Оператору электронной площадки обязательное для исполнения предписание об устранении выявленных нарушений, путем </w:t>
      </w:r>
      <w:r>
        <w:rPr>
          <w:rStyle w:val="CharStyle15"/>
        </w:rPr>
        <w:t xml:space="preserve">аннулирования </w:t>
      </w:r>
      <w:r>
        <w:rPr>
          <w:lang w:val="ru-RU" w:eastAsia="ru-RU" w:bidi="ru-RU"/>
          <w:sz w:val="24"/>
          <w:szCs w:val="24"/>
          <w:w w:val="100"/>
          <w:spacing w:val="0"/>
          <w:color w:val="000000"/>
          <w:position w:val="0"/>
        </w:rPr>
        <w:t>Аукциона.</w:t>
      </w:r>
    </w:p>
    <w:p>
      <w:pPr>
        <w:pStyle w:val="Style3"/>
        <w:numPr>
          <w:ilvl w:val="0"/>
          <w:numId w:val="9"/>
        </w:numPr>
        <w:widowControl w:val="0"/>
        <w:keepNext w:val="0"/>
        <w:keepLines w:val="0"/>
        <w:shd w:val="clear" w:color="auto" w:fill="auto"/>
        <w:bidi w:val="0"/>
        <w:spacing w:before="0" w:after="0" w:line="322" w:lineRule="exact"/>
        <w:ind w:left="20" w:right="20" w:firstLine="640"/>
      </w:pPr>
      <w:r>
        <w:rPr>
          <w:lang w:val="ru-RU" w:eastAsia="ru-RU" w:bidi="ru-RU"/>
          <w:sz w:val="24"/>
          <w:szCs w:val="24"/>
          <w:w w:val="100"/>
          <w:spacing w:val="0"/>
          <w:color w:val="000000"/>
          <w:position w:val="0"/>
        </w:rPr>
        <w:t xml:space="preserve"> Передать должностному лицу Адыгейского УФАС России материалы дела №001/06/64-64/2020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spacing w:before="0" w:after="0" w:line="322" w:lineRule="exact"/>
        <w:ind w:left="20" w:right="20" w:firstLine="640"/>
        <w:sectPr>
          <w:footnotePr>
            <w:pos w:val="pageBottom"/>
            <w:numFmt w:val="decimal"/>
            <w:numRestart w:val="continuous"/>
          </w:footnotePr>
          <w:type w:val="continuous"/>
          <w:pgSz w:w="11906" w:h="16838"/>
          <w:pgMar w:top="719" w:left="704" w:right="704" w:bottom="1229" w:header="0" w:footer="3" w:gutter="270"/>
          <w:rtlGutter/>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365" w:lineRule="exact"/>
        <w:ind w:left="0" w:right="38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428" w:left="1441" w:right="7201" w:bottom="184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2.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 11 pt,Интервал 0 pt"/>
    <w:basedOn w:val="CharStyle4"/>
    <w:rPr>
      <w:lang w:val="ru-RU" w:eastAsia="ru-RU" w:bidi="ru-RU"/>
      <w:sz w:val="22"/>
      <w:szCs w:val="22"/>
      <w:w w:val="100"/>
      <w:spacing w:val="10"/>
      <w:color w:val="000000"/>
      <w:position w:val="0"/>
    </w:rPr>
  </w:style>
  <w:style w:type="character" w:customStyle="1" w:styleId="CharStyle6">
    <w:name w:val="Основной текст + Microsoft Sans Serif,39 pt,Курсив,Интервал -5 pt"/>
    <w:basedOn w:val="CharStyle4"/>
    <w:rPr>
      <w:lang w:val="ru-RU" w:eastAsia="ru-RU" w:bidi="ru-RU"/>
      <w:i/>
      <w:iCs/>
      <w:sz w:val="78"/>
      <w:szCs w:val="78"/>
      <w:rFonts w:ascii="Microsoft Sans Serif" w:eastAsia="Microsoft Sans Serif" w:hAnsi="Microsoft Sans Serif" w:cs="Microsoft Sans Serif"/>
      <w:w w:val="100"/>
      <w:spacing w:val="-110"/>
      <w:color w:val="000000"/>
      <w:position w:val="0"/>
    </w:rPr>
  </w:style>
  <w:style w:type="character" w:customStyle="1" w:styleId="CharStyle7">
    <w:name w:val="Основной текст + Полужирный,Интервал 0 pt"/>
    <w:basedOn w:val="CharStyle4"/>
    <w:rPr>
      <w:lang w:val="ru-RU" w:eastAsia="ru-RU" w:bidi="ru-RU"/>
      <w:b/>
      <w:bCs/>
      <w:sz w:val="24"/>
      <w:szCs w:val="24"/>
      <w:w w:val="100"/>
      <w:spacing w:val="10"/>
      <w:color w:val="000000"/>
      <w:position w:val="0"/>
    </w:rPr>
  </w:style>
  <w:style w:type="character" w:customStyle="1" w:styleId="CharStyle8">
    <w:name w:val="Основной текст"/>
    <w:basedOn w:val="CharStyle4"/>
    <w:rPr>
      <w:lang w:val="ru-RU" w:eastAsia="ru-RU" w:bidi="ru-RU"/>
      <w:sz w:val="24"/>
      <w:szCs w:val="24"/>
      <w:w w:val="100"/>
      <w:spacing w:val="0"/>
      <w:color w:val="000000"/>
      <w:position w:val="0"/>
    </w:rPr>
  </w:style>
  <w:style w:type="character" w:customStyle="1" w:styleId="CharStyle9">
    <w:name w:val="Основной текст + 8 pt"/>
    <w:basedOn w:val="CharStyle4"/>
    <w:rPr>
      <w:lang w:val="ru-RU" w:eastAsia="ru-RU" w:bidi="ru-RU"/>
      <w:sz w:val="16"/>
      <w:szCs w:val="16"/>
      <w:w w:val="100"/>
      <w:spacing w:val="0"/>
      <w:color w:val="000000"/>
      <w:position w:val="0"/>
    </w:rPr>
  </w:style>
  <w:style w:type="character" w:customStyle="1" w:styleId="CharStyle10">
    <w:name w:val="Основной текст + Курсив"/>
    <w:basedOn w:val="CharStyle4"/>
    <w:rPr>
      <w:lang w:val="ru-RU" w:eastAsia="ru-RU" w:bidi="ru-RU"/>
      <w:i/>
      <w:iCs/>
      <w:sz w:val="24"/>
      <w:szCs w:val="24"/>
      <w:w w:val="100"/>
      <w:spacing w:val="0"/>
      <w:color w:val="000000"/>
      <w:position w:val="0"/>
    </w:rPr>
  </w:style>
  <w:style w:type="character" w:customStyle="1" w:styleId="CharStyle11">
    <w:name w:val="Основной текст + Курсив"/>
    <w:basedOn w:val="CharStyle4"/>
    <w:rPr>
      <w:lang w:val="ru-RU" w:eastAsia="ru-RU" w:bidi="ru-RU"/>
      <w:i/>
      <w:iCs/>
      <w:sz w:val="24"/>
      <w:szCs w:val="24"/>
      <w:w w:val="100"/>
      <w:spacing w:val="0"/>
      <w:color w:val="000000"/>
      <w:position w:val="0"/>
    </w:rPr>
  </w:style>
  <w:style w:type="character" w:customStyle="1" w:styleId="CharStyle12">
    <w:name w:val="Основной текст + 8 pt"/>
    <w:basedOn w:val="CharStyle4"/>
    <w:rPr>
      <w:lang w:val="ru-RU" w:eastAsia="ru-RU" w:bidi="ru-RU"/>
      <w:sz w:val="16"/>
      <w:szCs w:val="16"/>
      <w:w w:val="100"/>
      <w:spacing w:val="0"/>
      <w:color w:val="000000"/>
      <w:position w:val="0"/>
    </w:rPr>
  </w:style>
  <w:style w:type="character" w:customStyle="1" w:styleId="CharStyle14">
    <w:name w:val="Заголовок №1_"/>
    <w:basedOn w:val="DefaultParagraphFont"/>
    <w:link w:val="Style13"/>
    <w:rPr>
      <w:b w:val="0"/>
      <w:bCs w:val="0"/>
      <w:i w:val="0"/>
      <w:iCs w:val="0"/>
      <w:u w:val="none"/>
      <w:strike w:val="0"/>
      <w:smallCaps w:val="0"/>
      <w:sz w:val="28"/>
      <w:szCs w:val="28"/>
      <w:rFonts w:ascii="Impact" w:eastAsia="Impact" w:hAnsi="Impact" w:cs="Impact"/>
    </w:rPr>
  </w:style>
  <w:style w:type="character" w:customStyle="1" w:styleId="CharStyle15">
    <w:name w:val="Основной текст + Полужирный,Интервал 0 pt"/>
    <w:basedOn w:val="CharStyle4"/>
    <w:rPr>
      <w:lang w:val="ru-RU" w:eastAsia="ru-RU" w:bidi="ru-RU"/>
      <w:b/>
      <w:bCs/>
      <w:sz w:val="24"/>
      <w:szCs w:val="24"/>
      <w:w w:val="100"/>
      <w:spacing w:val="10"/>
      <w:color w:val="000000"/>
      <w:position w:val="0"/>
    </w:rPr>
  </w:style>
  <w:style w:type="character" w:customStyle="1" w:styleId="CharStyle16">
    <w:name w:val="Основной текст"/>
    <w:basedOn w:val="CharStyle4"/>
    <w:rPr>
      <w:lang w:val="ru-RU" w:eastAsia="ru-RU" w:bidi="ru-RU"/>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both"/>
      <w:spacing w:before="18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180" w:line="0" w:lineRule="exact"/>
    </w:pPr>
    <w:rPr>
      <w:b w:val="0"/>
      <w:bCs w:val="0"/>
      <w:i w:val="0"/>
      <w:iCs w:val="0"/>
      <w:u w:val="none"/>
      <w:strike w:val="0"/>
      <w:smallCaps w:val="0"/>
      <w:sz w:val="28"/>
      <w:szCs w:val="28"/>
      <w:rFonts w:ascii="Impact" w:eastAsia="Impact" w:hAnsi="Impact" w:cs="Impac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