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99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«ГВВ № 3 ДЗМ»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93" w:line="326" w:lineRule="exact"/>
        <w:ind w:left="53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Стартовая, д. 4, г. Москва, 129336, </w:t>
      </w:r>
      <w:r>
        <w:fldChar w:fldCharType="begin"/>
      </w:r>
      <w:r>
        <w:rPr>
          <w:color w:val="000000"/>
        </w:rPr>
        <w:instrText> HYPERLINK "mailto:romv@bk.ru"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romv@bk.ru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</w:t>
      </w:r>
      <w:r>
        <w:fldChar w:fldCharType="begin"/>
      </w:r>
      <w:r>
        <w:rPr>
          <w:color w:val="000000"/>
        </w:rPr>
        <w:instrText> HYPERLINK "mailto:AntipovaYO@mos.ru"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AntipovaYO@mos.ru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«ВЕСТА»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89" w:line="322" w:lineRule="exact"/>
        <w:ind w:left="53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Ленинская слобода, д. 19, эт. 1, ком. 41х1Д, оф. 91, г. Москва, 115280, </w:t>
      </w:r>
      <w:r>
        <w:fldChar w:fldCharType="begin"/>
      </w:r>
      <w:r>
        <w:rPr>
          <w:rStyle w:val="CharStyle12"/>
        </w:rPr>
        <w:instrText> HYPERLINK "mailto:2010vesta@mail.ru" </w:instrText>
      </w:r>
      <w:r>
        <w:fldChar w:fldCharType="separate"/>
      </w:r>
      <w:r>
        <w:rPr>
          <w:rStyle w:val="Hyperlink"/>
        </w:rPr>
        <w:t>2010vesta@mail.ru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35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1401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117312, г. Москва, пр. 60-я Октября, д.9</w:t>
      </w:r>
    </w:p>
    <w:p>
      <w:pPr>
        <w:pStyle w:val="Style13"/>
        <w:tabs>
          <w:tab w:leader="none" w:pos="11310" w:val="center"/>
          <w:tab w:leader="none" w:pos="1243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300" w:right="2280" w:firstLine="20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077/06/106-2573/2021 о нарушении законодательства о контрактной системе</w:t>
      </w:r>
    </w:p>
    <w:p>
      <w:pPr>
        <w:pStyle w:val="Style13"/>
        <w:numPr>
          <w:ilvl w:val="0"/>
          <w:numId w:val="1"/>
        </w:numPr>
        <w:tabs>
          <w:tab w:leader="none" w:pos="9030" w:val="center"/>
          <w:tab w:leader="none" w:pos="10158" w:val="right"/>
          <w:tab w:leader="none" w:pos="89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Москва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 — начальника отдела обжалования государственных закупок Л.Н. Харченко,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А.А. Кутейников,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</w:t>
      </w:r>
    </w:p>
    <w:p>
      <w:pPr>
        <w:pStyle w:val="Style10"/>
        <w:tabs>
          <w:tab w:leader="none" w:pos="63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жалобы проводилось дистанционно (посредством видеоконференцсвязи)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 </w:t>
      </w:r>
      <w:r>
        <w:rPr>
          <w:lang w:val="en-US" w:eastAsia="en-US" w:bidi="en-US"/>
          <w:w w:val="100"/>
          <w:spacing w:val="0"/>
          <w:color w:val="000000"/>
          <w:position w:val="0"/>
        </w:rPr>
        <w:t>nCoV.,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ГБУЗ «ГВВ № 3 ДЗМ», ООО «Веста»,</w:t>
      </w:r>
    </w:p>
    <w:p>
      <w:pPr>
        <w:pStyle w:val="Style3"/>
        <w:framePr w:w="1349" w:h="427" w:wrap="around" w:vAnchor="text" w:hAnchor="margin" w:x="351" w:y="149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001538922510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жалобы ООО «Веста» (далее - Заявитель) на действия ГБУЗ «ГВВ №3 ДЗМ» (далее-Заказчик) при проведении конкурсов с ограниченным участием в электронной форме на право заключения государственных контрактов на поставку продуктов питания (бакалейная продукция) для нужд ГБУЗ «ГВВ № 3</w:t>
      </w:r>
      <w:r>
        <w:br w:type="page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ДЗМ»; поставку продуктов питания (мясо) для нужд ГБУЗ «ГВВ № 3 ДЗМ» (Закупки №№ 0373200056420000246, 0373200056420000245) (далее — конкурсы),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38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поступили жалобы Заявителя на действия Заказчика при проведении вышеуказанных конкурсов.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жалоб, рассмотрев представленные документы и сведения, запрашиваемые письмом Московского УФАС России исх. № ЕИ/8058/21 от 12.02.2021, Комиссия Управления установила следующее.</w:t>
      </w:r>
    </w:p>
    <w:p>
      <w:pPr>
        <w:pStyle w:val="Style10"/>
        <w:numPr>
          <w:ilvl w:val="0"/>
          <w:numId w:val="3"/>
        </w:numPr>
        <w:tabs>
          <w:tab w:leader="none" w:pos="10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 конкурсными комиссиями Заказчика нарушен порядок составления протоколов рассмотрения и оценки вторых частей заявок на участие в конкурсах с ограниченным участием в электронной форме, поскольку в данных протоколах отсутствуют пояснения и конкретизация принятых конкурсными комиссиями Заказчика решений в отношении заявок ООО «ВЕСТА».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ч.4 ст.56.1 Закона о контрактной системе при проведении конкурса с ограниченным участием в электронной форме применяются положения Закона о контрактной системе о проведении открытого конкурса в электронной форме с учетом особенностей, определенных ст.56.1 Закона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ч.7 ст.54.7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форме, подписываемом всеми присутствующими на заседании членами конкурсной комиссии не позднее даты окончания рассмотрения вторых частей заявок.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Указанный протокол должен содержать информацию:</w:t>
      </w:r>
    </w:p>
    <w:p>
      <w:pPr>
        <w:pStyle w:val="Style10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месте, дате, времени рассмотрения и оценки вторых частей заявок на участие в открытом конкурсе в электронной форме;</w:t>
      </w:r>
    </w:p>
    <w:p>
      <w:pPr>
        <w:pStyle w:val="Style10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 участниках открытого конкурса в электронной форме, заявки которых на участие в открытом конкурсе в электронной форме были рассмотрены;</w:t>
      </w:r>
    </w:p>
    <w:p>
      <w:pPr>
        <w:pStyle w:val="Style10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соответствии или несоответствии заявки на участие в открытом конкурсе в электронной форме требованиям, установленным конкурсной документацией, с обоснованием этого решения, в том числе с указанием положений законодательства Российской Федерации о контрактной системе, конкурсной документации, которым не соответствует эта заявка, и положений заявки на участие в открытом конкурсе в электронной форме, которые не соответствуют этим требованиям;</w:t>
      </w:r>
    </w:p>
    <w:p>
      <w:pPr>
        <w:pStyle w:val="Style10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5) о порядке оценки заявок на участие в открытом конкурсе в электронной форме по критериям, установленным конкурсной документацией,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критериям, за исключением критерия, указанного в пункте 3 части 1 статьи 32 Закона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опубликованные Заказчиком протоколы рассмотрения и оценки вторых частей заявок на участие в конкурсах с ограниченным участием в электронной форме от</w:t>
      </w:r>
    </w:p>
    <w:p>
      <w:pPr>
        <w:pStyle w:val="Style10"/>
        <w:numPr>
          <w:ilvl w:val="0"/>
          <w:numId w:val="7"/>
        </w:numPr>
        <w:tabs>
          <w:tab w:leader="none" w:pos="2227" w:val="left"/>
          <w:tab w:leader="none" w:pos="2885" w:val="left"/>
          <w:tab w:leader="none" w:pos="397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№ПРОП1 содержат в себе исчерпывающий перечень сведений, предусмотренный ст.54.7 Закона о контрактной системе, а именно: «Заявка на участие в конкурсе с ограниченным участием в электронной форме признается не соответствующей требованиям, установленным конкурсной документацией, на основании п.2</w:t>
        <w:tab/>
        <w:t>ч.4</w:t>
        <w:tab/>
        <w:t>ст.54.7</w:t>
        <w:tab/>
        <w:t>44-ФЗ в связи с наличием в документах,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предусмотренных частью 6 статьи 54.4 44-ФЗ, недостоверной информации, а именно в связи с тем, что в заявке установлено наличие недостоверной информации, содержащейся в документах, подтверждающих деловую репутацию участника: часть рекомендаций, выданных ГБУЗ «ГКБ №51 ДЗМ». В соответствии с письменным официальным ответом на запрос заказчика данная организация указала на недостоверность сведений в указанных документах о фактах заключения контрактов и выдачи таких документов».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исходя из приведенных в протоколах рассмотрения и оценки вторых частей заявок на участие в конкурсах с ограниченным участием от</w:t>
      </w:r>
    </w:p>
    <w:p>
      <w:pPr>
        <w:pStyle w:val="Style10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№ПРОП1 формулировкам не представляется возможным определить точную причину признания заявок ООО «ВЕСТА» несоответствующими, поскольку использованные Заказчиком формулировки являются обобщенными, что нарушает ч.7 ст.54.7 Закона о контрактной системе, так как отсутствуют обоснования принятых решений с указанием конкретной информация из заявок, по мнению конкурсных комиссий Заказчика, являющейся недостоверной.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Между тем, в целях обеспечения гласности и прозрачности осуществления закупок, предотвращения коррупции и других злоупотреблений в указанной сфере, представляется возможным сделать вывод о том, что обязательному доведению до сведения участников закупки подлежит вся информация, касающаяся хода и результатов рассмотрения их заявок на участие в названной закупке, поскольку упомянутые результаты напрямую затрагивают права и законные интересы таких участников. Кроме того, такая информация должна детально раскрывать причины отклонения поданной заявки с указанием на то, какие именно положениям закупочной документации не соответствует такая заявка и в какой именно ее части, с тем, чтобы исключить возможность заказчиков в последующем субъективно трактовать причины такого отклонения и предоставить участникам закупки возможность в случае несогласия с таким решением заказчика оспорить в установленном законом порядке.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Названный правовой подход наиболее полно отвечает законодательно закрепленному принципу равенства участников гражданских правоотношений (ч. 1 ст. 1 Гражданского кодекса Российской Федерации (далее — ГК РФ), и данного подхода последовательно придерживаются арбитражные суды Московского округа, в частности по делам №№ А40-137048/12, А40-5013/14, А40-43124/14, А40- 219113/14.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свою очередь отклонение заявки участника без обоснования конкретных причин такого отклонения изначально нельзя признать правомерным ввиду несоответствия таких действий целям обеспечения гласности и прозрачности осуществления закупок (ч. 1 ст. 1 Закона о контрактной системе), а также законодательно установленному запрету на злоупотребление правом (ч. 2 ст. 10 ГК РФ) и принципу недопустимости извлечения преимущества из своего незаконного или недобросовестного поведения (ч. 4 ст. 1 ГК РФ).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 о нарушении конкурсной комиссией Заказчика ч.7 ст.54.7 Закона о контрактной системе.</w:t>
      </w:r>
    </w:p>
    <w:p>
      <w:pPr>
        <w:pStyle w:val="Style10"/>
        <w:numPr>
          <w:ilvl w:val="0"/>
          <w:numId w:val="3"/>
        </w:numPr>
        <w:tabs>
          <w:tab w:leader="none" w:pos="107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протоколам рассмотрения и оценки вторых частей заявок на участие в конкурсах с ограниченным участием в электронной форме от 09.02.2021 №ПРОП2 заявки Заявителя отклонены от участия в конкурсах на следующем основании: «Заявка на участие в конкурсе с ограниченным участием в электронной форме признается не соответствующей требованиям, установленным конкурсной документацией, на основании п.2 ч.4 ст.54.7 44-ФЗ в связи с наличием в документах, предусмотренных частью 6 статьи 54.4 44-ФЗ, недостоверной информации, а именно в связи с тем, что в заявке установлено наличие недостоверной информации, содержащейся в документах, подтверждающих деловую репутацию участника: часть рекомендаций, выданных ГБУЗ «ГКБ №51 ДЗМ». В соответствии с письменным официальным ответом на запрос заказчика данная организация указала на недостоверность сведений в указанных документах о фактах заключения контрактов и выдачи таких документов».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п.8 ч.1 ст.54.3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Законом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с этим п.4 ч.1 ст.54.3 Закона о контрактной системе установлено, что конкурсная документация наряду с информацией, указанной в извещении о проведении открытого конкурса в электронной форме, должна содержать предусмотренные статьей 54.4 Закона о контрактной системе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п.6 ч.6 ст.54.4 Закона о контрактной системе вторая часть заявки на участие в открытом конкурсе в электронной форме должна содержать документы, подтверждающие квалификацию участника открытого конкурса в электронной форме. При этом отсутствие этих документов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ч.3 ст.54.7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ст.54.7 Закона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ч.6 ст.54.7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представитель Заказчика пояснил, что заявки ООО «Веста» отклонены в связи с обнаружением в заявках недостоверных сведений.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целях установления достоверности сведений, представленных Заявителем по показателю «Деловая репутация участника закупки», Заказчиком направлен запрос в адрес ГБУЗ «ГКБ № 51 ДЗМ» (от 03.02.2021 № 146) о подтверждении выдачи ООО «Веста» благодарственных писем в рамках государственных контрактов, заключенных ООО «Веста» с ГБУЗ «ГКБ № 51 ДЗМ» в 2016 году.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согласно поступившим ответам от 03.02.2021 №б/н и от 12.02.2012 №01</w:t>
        <w:softHyphen/>
        <w:t>05-96/21 ГБУЗ «ГКБ № 51 ДЗМ» не подписывало и не выдавало благодарственные письма от 30.12.2016 №б/н по контрактам от 31.05.2016 №2640466-16, от 31.05.2016 №2640703-16, от 22.06.2016 №28251286-16, при этом указанные контракты не заключались.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ч.9 ст.105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согласившись с пояснениями Заказчика, представитель Заявителя представил на обозрение Комиссии Управления копии государственных контрактов от 31.05.2016 №2640466-16, от 31.05.2016 №2640703-16, от 22.06.2016 №28251286</w:t>
        <w:softHyphen/>
        <w:t>16, заключенные ООО «Веста» с ГБУЗ «ГКБ № 51 ДЗМ», подписанные сторонами в установленном законодательством Российской Федерации порядке, в том числе электронными подписями ООО «Веста» и ГБУЗ «ГКБ № 51 ДЗМ», а также представил приложенные к указанным контрактам Технические задания, спецификации поставляемых товаров и акты об исполнении договоров поставки.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Управления установлено, что согласно представленным представителем Заявителя сведениям к контракту от 31.05.2016 </w:t>
      </w:r>
      <w:r>
        <w:rPr>
          <w:rStyle w:val="CharStyle17"/>
        </w:rPr>
        <w:t xml:space="preserve">№2640466-16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приложена спецификация поставляемых товаров в Приложении №1 к государственному контракту </w:t>
      </w:r>
      <w:r>
        <w:rPr>
          <w:rStyle w:val="CharStyle17"/>
        </w:rPr>
        <w:t>№2460466-16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 31.05.2016, к контракту от 31.05.2016 </w:t>
      </w:r>
      <w:r>
        <w:rPr>
          <w:rStyle w:val="CharStyle17"/>
        </w:rPr>
        <w:t>№2640703-16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приложена спецификация поставляемых товаров в Приложении №1 к государственному контракту </w:t>
      </w:r>
      <w:r>
        <w:rPr>
          <w:rStyle w:val="CharStyle17"/>
        </w:rPr>
        <w:t>№2460703-16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 31.05.2016, к контракту от 22.06.2016 </w:t>
      </w:r>
      <w:r>
        <w:rPr>
          <w:rStyle w:val="CharStyle17"/>
        </w:rPr>
        <w:t>№28</w:t>
      </w:r>
      <w:r>
        <w:rPr>
          <w:rStyle w:val="CharStyle18"/>
        </w:rPr>
        <w:t>251</w:t>
      </w:r>
      <w:r>
        <w:rPr>
          <w:rStyle w:val="CharStyle17"/>
        </w:rPr>
        <w:t>286-16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приложена спецификация поставляемых товаров в Приложении №1 к государственному контракту </w:t>
      </w:r>
      <w:r>
        <w:rPr>
          <w:rStyle w:val="CharStyle17"/>
        </w:rPr>
        <w:t>№2821286-16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 22.06.2016, что однозначно указывает на то, что при формировании номеров контрактов в наименовании самих контрактах допущены технические ошибки специалистами ГБУЗ «ГКБ № 51 ДЗМ».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Принимая во внимание номера контрактов, указанные в спецификациях, Комиссии Управления представилось возможным идентифицировать такие контракты как заключенные ООО «Веста» с ГБУЗ «ГКБ № 51 ДЗМ» на официальном сайте портале поставщиков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>(</w:t>
      </w:r>
      <w:r>
        <w:fldChar w:fldCharType="begin"/>
      </w:r>
      <w:r>
        <w:rPr>
          <w:color w:val="000000"/>
        </w:rPr>
        <w:instrText> HYPERLINK "https://zakupki.mos.ru/"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https://zakupki.mos.ru/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):</w:t>
      </w:r>
      <w:r>
        <w:br w:type="page"/>
      </w:r>
    </w:p>
    <w:p>
      <w:pPr>
        <w:pStyle w:val="Style5"/>
        <w:framePr w:h="113" w:wrap="around" w:hAnchor="margin" w:x="8783" w:y="6768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100" w:right="0" w:firstLine="0"/>
      </w:pPr>
      <w:r>
        <w:rPr>
          <w:rStyle w:val="CharStyle7"/>
        </w:rPr>
        <w:t>±</w:t>
      </w:r>
      <w:r>
        <w:rPr>
          <w:rStyle w:val="CharStyle8"/>
          <w:spacing w:val="0"/>
        </w:rPr>
        <w:t xml:space="preserve"> </w:t>
      </w:r>
      <w:r>
        <w:rPr>
          <w:rStyle w:val="CharStyle9"/>
          <w:spacing w:val="0"/>
        </w:rPr>
        <w:t>Ш\ S3 Ф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780" w:right="776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50" w:left="972" w:right="718" w:bottom="1326" w:header="0" w:footer="3" w:gutter="0"/>
          <w:rtlGutter w:val="0"/>
          <w:cols w:space="720"/>
          <w:noEndnote/>
          <w:docGrid w:linePitch="360"/>
        </w:sectPr>
      </w:pPr>
      <w:r>
        <w:rPr>
          <w:rStyle w:val="CharStyle21"/>
        </w:rPr>
        <w:t xml:space="preserve">Реестровый номер контракта </w:t>
      </w:r>
      <w:r>
        <w:rPr>
          <w:rStyle w:val="CharStyle22"/>
        </w:rPr>
        <w:t>007264216000213</w:t>
      </w:r>
    </w:p>
    <w:p>
      <w:pPr>
        <w:pStyle w:val="Style19"/>
        <w:framePr w:w="973" w:h="297" w:wrap="none" w:vAnchor="text" w:hAnchor="margin" w:x="6364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192" w:lineRule="exact"/>
        <w:ind w:left="0" w:right="0" w:firstLine="0"/>
      </w:pPr>
      <w:r>
        <w:rPr>
          <w:rStyle w:val="CharStyle24"/>
          <w:spacing w:val="0"/>
        </w:rPr>
        <w:t xml:space="preserve">Закон - основание </w:t>
      </w:r>
      <w:r>
        <w:rPr>
          <w:rStyle w:val="CharStyle25"/>
          <w:spacing w:val="0"/>
        </w:rPr>
        <w:t xml:space="preserve">Ц) </w:t>
      </w:r>
      <w:r>
        <w:rPr>
          <w:rStyle w:val="CharStyle26"/>
          <w:spacing w:val="0"/>
        </w:rPr>
        <w:t>44-ФЗ</w:t>
      </w:r>
    </w:p>
    <w:p>
      <w:pPr>
        <w:pStyle w:val="Style19"/>
        <w:framePr w:w="925" w:h="297" w:wrap="none" w:vAnchor="text" w:hAnchor="margin" w:x="7900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192" w:lineRule="exact"/>
        <w:ind w:left="100" w:right="120" w:firstLine="0"/>
      </w:pPr>
      <w:r>
        <w:rPr>
          <w:rStyle w:val="CharStyle24"/>
          <w:spacing w:val="0"/>
        </w:rPr>
        <w:t xml:space="preserve">Дата заключения </w:t>
      </w:r>
      <w:r>
        <w:rPr>
          <w:rStyle w:val="CharStyle25"/>
          <w:spacing w:val="0"/>
        </w:rPr>
        <w:t xml:space="preserve">© </w:t>
      </w:r>
      <w:r>
        <w:rPr>
          <w:rStyle w:val="CharStyle26"/>
          <w:spacing w:val="0"/>
        </w:rPr>
        <w:t>31.05.2016</w:t>
      </w:r>
    </w:p>
    <w:p>
      <w:pPr>
        <w:widowControl w:val="0"/>
        <w:spacing w:line="645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783" w:left="718" w:right="718" w:bottom="783" w:header="0" w:footer="3" w:gutter="0"/>
          <w:rtlGutter w:val="0"/>
          <w:cols w:space="720"/>
          <w:noEndnote/>
          <w:docGrid w:linePitch="360"/>
        </w:sectPr>
      </w:pP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111"/>
        <w:ind w:left="800" w:right="2080" w:firstLine="0"/>
      </w:pPr>
      <w:r>
        <w:rPr>
          <w:rStyle w:val="CharStyle34"/>
        </w:rPr>
        <w:t xml:space="preserve">ГОСУДАРСТВЕННОЕ БЮДЖЕТНОЕ УЧРЕЖДЕНИЕ ЗДРАВООХРАНЕНИЯ ГОРОДА МОСКВЫ «ГОРОД СКАЯ КЛИНИЧЕСКАЯ БОЛЬНИЦА </w:t>
      </w:r>
      <w:r>
        <w:rPr>
          <w:rStyle w:val="CharStyle34"/>
          <w:lang w:val="en-US" w:eastAsia="en-US" w:bidi="en-US"/>
        </w:rPr>
        <w:t xml:space="preserve">Ne </w:t>
      </w:r>
      <w:r>
        <w:rPr>
          <w:rStyle w:val="CharStyle34"/>
        </w:rPr>
        <w:t>51 ДЕПАРТАМЕНТА ЗДРАВООХРАНЕНИЯ ГОРОДА МОСКВЫ»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58" w:line="80" w:lineRule="exact"/>
        <w:ind w:left="800" w:right="0" w:firstLine="0"/>
      </w:pPr>
      <w:r>
        <w:rPr>
          <w:rStyle w:val="CharStyle21"/>
        </w:rPr>
        <w:t>Поставщик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524" w:line="90" w:lineRule="exact"/>
        <w:ind w:left="800" w:right="0" w:firstLine="0"/>
      </w:pPr>
      <w:r>
        <w:rPr>
          <w:rStyle w:val="CharStyle34"/>
        </w:rPr>
        <w:t>Общество с ограниченной ответственностью "Веста"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jc w:val="left"/>
        <w:spacing w:before="0" w:after="646" w:line="100" w:lineRule="exact"/>
        <w:ind w:left="2320" w:right="0" w:firstLine="0"/>
      </w:pPr>
      <w:r>
        <w:rPr>
          <w:rStyle w:val="CharStyle37"/>
          <w:b/>
          <w:bCs/>
        </w:rPr>
        <w:t>СПЕЦИФИКАЦИЯ</w:t>
      </w:r>
    </w:p>
    <w:p>
      <w:pPr>
        <w:pStyle w:val="Style27"/>
        <w:framePr w:h="441" w:wrap="around" w:vAnchor="text" w:hAnchor="margin" w:x="9009" w:y="251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rStyle w:val="CharStyle29"/>
          <w:b/>
          <w:bCs/>
          <w:i/>
          <w:iCs/>
          <w:spacing w:val="-50"/>
        </w:rPr>
        <w:t>(ф)</w:t>
      </w:r>
    </w:p>
    <w:p>
      <w:pPr>
        <w:pStyle w:val="Style19"/>
        <w:framePr w:w="949" w:h="403" w:wrap="around" w:vAnchor="text" w:hAnchor="margin" w:x="5587" w:y="224"/>
        <w:widowControl w:val="0"/>
        <w:keepNext w:val="0"/>
        <w:keepLines w:val="0"/>
        <w:shd w:val="clear" w:color="auto" w:fill="auto"/>
        <w:bidi w:val="0"/>
        <w:jc w:val="both"/>
        <w:spacing w:before="0" w:after="0" w:line="202" w:lineRule="exact"/>
        <w:ind w:left="100" w:right="100" w:firstLine="0"/>
      </w:pPr>
      <w:r>
        <w:rPr>
          <w:rStyle w:val="CharStyle30"/>
          <w:spacing w:val="0"/>
        </w:rPr>
        <w:t xml:space="preserve">Общая стоимость </w:t>
      </w:r>
      <w:r>
        <w:rPr>
          <w:rStyle w:val="CharStyle31"/>
          <w:spacing w:val="0"/>
        </w:rPr>
        <w:t>99 830 Р</w:t>
      </w:r>
    </w:p>
    <w:p>
      <w:pPr>
        <w:pStyle w:val="Style35"/>
        <w:widowControl w:val="0"/>
        <w:keepNext w:val="0"/>
        <w:keepLines w:val="0"/>
        <w:shd w:val="clear" w:color="auto" w:fill="auto"/>
        <w:bidi w:val="0"/>
        <w:jc w:val="left"/>
        <w:spacing w:before="0" w:after="163" w:line="100" w:lineRule="exact"/>
        <w:ind w:left="2320" w:right="0" w:firstLine="0"/>
      </w:pPr>
      <w:r>
        <w:rPr>
          <w:rStyle w:val="CharStyle37"/>
          <w:b/>
          <w:bCs/>
        </w:rPr>
        <w:t>ТОВАРЫ-ПРОДУКТЫ ПИТАНИЯ-КОМПЛЕКСНАЯ ПОСТАВКА ПРОДУКТОВ ПИТАНИЯ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0" w:right="0" w:firstLine="0"/>
      </w:pPr>
      <w:r>
        <w:rPr>
          <w:rStyle w:val="CharStyle38"/>
        </w:rPr>
        <w:t xml:space="preserve">Цена </w:t>
      </w:r>
      <w:r>
        <w:rPr>
          <w:rStyle w:val="CharStyle21"/>
        </w:rPr>
        <w:t>за ед.</w:t>
      </w:r>
    </w:p>
    <w:p>
      <w:pPr>
        <w:pStyle w:val="Style39"/>
        <w:framePr w:w="2918" w:wrap="notBeside" w:vAnchor="text" w:hAnchor="text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41"/>
        </w:rPr>
        <w:t xml:space="preserve">Количество </w:t>
      </w:r>
      <w:r>
        <w:rPr>
          <w:rStyle w:val="CharStyle42"/>
        </w:rPr>
        <w:t xml:space="preserve">1 </w:t>
      </w:r>
      <w:r>
        <w:rPr>
          <w:rStyle w:val="CharStyle43"/>
        </w:rPr>
        <w:t>КГ</w:t>
      </w:r>
    </w:p>
    <w:tbl>
      <w:tblPr>
        <w:tblOverlap w:val="never"/>
        <w:tblLayout w:type="fixed"/>
        <w:jc w:val="left"/>
      </w:tblPr>
      <w:tblGrid>
        <w:gridCol w:w="226"/>
        <w:gridCol w:w="682"/>
        <w:gridCol w:w="293"/>
        <w:gridCol w:w="1253"/>
        <w:gridCol w:w="466"/>
      </w:tblGrid>
      <w:tr>
        <w:trPr>
          <w:trHeight w:val="264" w:hRule="exact"/>
        </w:trPr>
        <w:tc>
          <w:tcPr>
            <w:shd w:val="clear" w:color="auto" w:fill="FFFFFF"/>
            <w:tcBorders/>
            <w:vAlign w:val="top"/>
          </w:tcPr>
          <w:p>
            <w:pPr>
              <w:pStyle w:val="Style10"/>
              <w:framePr w:w="2918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340" w:lineRule="exact"/>
              <w:ind w:left="0" w:right="0" w:firstLine="0"/>
            </w:pPr>
            <w:r>
              <w:rPr>
                <w:rStyle w:val="CharStyle44"/>
              </w:rPr>
              <w:t>Б</w:t>
            </w:r>
          </w:p>
        </w:tc>
        <w:tc>
          <w:tcPr>
            <w:shd w:val="clear" w:color="auto" w:fill="000000"/>
            <w:tcBorders>
              <w:top w:val="single" w:sz="4"/>
            </w:tcBorders>
            <w:vAlign w:val="top"/>
          </w:tcPr>
          <w:p>
            <w:pPr>
              <w:pStyle w:val="Style10"/>
              <w:framePr w:w="2918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80" w:right="0" w:firstLine="0"/>
            </w:pPr>
            <w:r>
              <w:rPr>
                <w:rStyle w:val="CharStyle45"/>
              </w:rPr>
              <w:t xml:space="preserve">р </w:t>
            </w:r>
            <w:r>
              <w:rPr>
                <w:rStyle w:val="CharStyle46"/>
              </w:rPr>
              <w:t>а</w:t>
            </w:r>
          </w:p>
        </w:tc>
        <w:tc>
          <w:tcPr>
            <w:shd w:val="clear" w:color="auto" w:fill="FFFFFF"/>
            <w:tcBorders>
              <w:top w:val="single" w:sz="4"/>
            </w:tcBorders>
            <w:vAlign w:val="top"/>
          </w:tcPr>
          <w:p>
            <w:pPr>
              <w:framePr w:w="2918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000000"/>
            <w:tcBorders>
              <w:top w:val="single" w:sz="4"/>
            </w:tcBorders>
            <w:vAlign w:val="top"/>
          </w:tcPr>
          <w:p>
            <w:pPr>
              <w:pStyle w:val="Style10"/>
              <w:framePr w:w="2918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80" w:right="0" w:firstLine="0"/>
            </w:pPr>
            <w:r>
              <w:rPr>
                <w:rStyle w:val="CharStyle47"/>
              </w:rPr>
              <w:t xml:space="preserve">Й1 </w:t>
            </w:r>
            <w:r>
              <w:rPr>
                <w:rStyle w:val="CharStyle48"/>
              </w:rPr>
              <w:t xml:space="preserve">© </w:t>
            </w:r>
            <w:r>
              <w:rPr>
                <w:rStyle w:val="CharStyle49"/>
              </w:rPr>
              <w:t xml:space="preserve">it </w:t>
            </w:r>
            <w:r>
              <w:rPr>
                <w:rStyle w:val="CharStyle50"/>
              </w:rPr>
              <w:t>9</w:t>
            </w:r>
          </w:p>
        </w:tc>
        <w:tc>
          <w:tcPr>
            <w:shd w:val="clear" w:color="auto" w:fill="000000"/>
            <w:tcBorders>
              <w:top w:val="single" w:sz="4"/>
            </w:tcBorders>
            <w:vAlign w:val="top"/>
          </w:tcPr>
          <w:p>
            <w:pPr>
              <w:pStyle w:val="Style10"/>
              <w:framePr w:w="2918" w:wrap="notBeside" w:vAnchor="text" w:hAnchor="text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70" w:lineRule="exact"/>
              <w:ind w:left="20" w:right="0" w:firstLine="0"/>
            </w:pPr>
            <w:r>
              <w:rPr>
                <w:rStyle w:val="CharStyle51"/>
              </w:rPr>
              <w:t>Ш</w:t>
            </w:r>
            <w:r>
              <w:rPr>
                <w:rStyle w:val="CharStyle52"/>
              </w:rPr>
              <w:t xml:space="preserve"> </w:t>
            </w:r>
            <w:r>
              <w:rPr>
                <w:rStyle w:val="CharStyle53"/>
              </w:rPr>
              <w:t>!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1421" w:left="1059" w:right="3339" w:bottom="1786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0" w:firstLine="720"/>
        <w:sectPr>
          <w:type w:val="continuous"/>
          <w:pgSz w:w="11906" w:h="16838"/>
          <w:pgMar w:top="1451" w:left="853" w:right="858" w:bottom="181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по мнению Комиссии Управления, конкурсные комиссии Заказчика, в рамках соблюдения принципа профессионализма Заказчика, могли обратить внимание на явные ошибки в номерах представленных контрактов, так, например, в контракте от 22.06.2016 номер содержит восемь цифр, в то время как контракты, заключенные в тот же временной период содержат семь цифр. При этом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направление запроса в адрес ГБУЗ «ГКБ № 51 ДЗМ», содержащего ошибочные данные о номерах контрактов, что априори не может привести к получению объективных сведений, напрямую указывает на то, что конкурсные комиссии Заказчика, не проявив должной осмотрительности, признали представленные Заявителем контракты недостоверными. В то же время при совокупной проверке всех представленных Заявителем сведений конкурсные комиссии Заказчика, действуя добросовестно и разумно, имели возможность удостовериться в факте заключения контрактов ООО «Веста» с ГБУЗ «ГКБ № 51 ДЗМ» и в подлинности представленных в составе заявок ООО «Веста» благодарственных писем.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обращает внимание, что под недостоверными сведениями следует понимать сведения, не соответствующие действительности.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свою очередь, исходя из правовой позиции Верховного Суда Российской Федерации, изложенной в постановлении от 24.02.2005 № 3 «О судебной практике по делам о защите чести и достоинства граждан, а также деловой репутации граждан и юридических лиц», </w:t>
      </w:r>
      <w:r>
        <w:rPr>
          <w:rStyle w:val="CharStyle17"/>
        </w:rPr>
        <w:t>под не соответствующими действительности сведениями понимаются утверждения о фактах или событиях, которые не имели места в реальности во время, к которому относятся оспариваемые сведения.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Предоставленное заказчику право отклонить поданную заявку в случае обнаружения в ней недостоверных сведений на любом этапе проведения закупки свидетельствует о том, что располагать такой информацией Заказчик должен непосредственно на момент принятия соответствующего решения (отказ в допуске либо отказ от заключения договора), </w:t>
      </w:r>
      <w:r>
        <w:rPr>
          <w:rStyle w:val="CharStyle17"/>
        </w:rPr>
        <w:t>причем располагать именно доказательствами такой недостоверности.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ч.4 ст.54.7 Закона о контрактной системе заявка на участие в открытом конкурсе в электронной форме признается не соответствующей требованиям, установленным конкурсной документацией:</w:t>
      </w:r>
    </w:p>
    <w:p>
      <w:pPr>
        <w:pStyle w:val="Style10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непредставления документов и информации, предусмотренных пунктами 1 - 3, 7 части 6 статьи 54.4 Закона о контрактной системе, либо несоответствия указанных документов и информации требованиям, установленным конкурсной документацией;</w:t>
      </w:r>
    </w:p>
    <w:p>
      <w:pPr>
        <w:pStyle w:val="Style10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наличия в документах и информации, предусмотренных частью 11 статьи 24.1, частями 4 и 6 статьи 54.4 Закона о контрактной системе, недостоверной информации на дату и время рассмотрения вторых частей заявок на участие в таком конкурсе;</w:t>
      </w:r>
    </w:p>
    <w:p>
      <w:pPr>
        <w:pStyle w:val="Style10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несоответствия участника такого конкурса требованиям, установленным конкурсной документацией в соответствии с частью 1, частями 1.1 и 2.1 (при наличии таких требований) статьи 31 Закона о контрактной системе;</w:t>
      </w:r>
    </w:p>
    <w:p>
      <w:pPr>
        <w:pStyle w:val="Style10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случаях, предусмотренных нормативными правовыми актами, принятыми в соответствии со статьей 14 Закона о контрактной системе;</w:t>
      </w:r>
    </w:p>
    <w:p>
      <w:pPr>
        <w:pStyle w:val="Style10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случае непредставления документов, предусмотренных пунктом 5 части 6 статьи 54.4 Закона о контрактной системе, при осуществлении закупки товаров, работ, услуг, в отношении которых установлен запрет, предусмотренный статьей 14 Закона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таких данных Комиссия Управления приходит к выводу, что решение конкурсной комиссии Заказчика в части признания заявок Заявителя не соответствующими требованиям конкурсных документаций, Закону о контрактной системе по основаниям, указанным в протоколах рассмотрения и оценки вторых частей заявок на участие в конкурсе с ограниченным участием в электронной форме от 09.02.2021 №ПРОП2, не основано на фактических сведениях, доподлинных обстоятельствах, является неправомерным и принято в нарушение ч. 4 ст. 54.7 Закона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460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10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жалобы ООО «Веста» на действия конкурсной комиссии ГБУЗ «ГВВ № 3 ДЗМ» обоснованными.</w:t>
      </w:r>
    </w:p>
    <w:p>
      <w:pPr>
        <w:pStyle w:val="Style10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в действиях конкурсной комиссии Заказчика нарушение ч.7 ст.54.7, ч. 4 ст. 54.7 Закона о контрактной системе.</w:t>
      </w:r>
    </w:p>
    <w:p>
      <w:pPr>
        <w:pStyle w:val="Style10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47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10"/>
        <w:tabs>
          <w:tab w:leader="none" w:pos="8933" w:val="right"/>
          <w:tab w:leader="none" w:pos="1008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Л.Н.</w:t>
        <w:tab/>
        <w:t>Харченко</w:t>
      </w:r>
    </w:p>
    <w:p>
      <w:pPr>
        <w:pStyle w:val="Style10"/>
        <w:tabs>
          <w:tab w:leader="none" w:pos="8558" w:val="right"/>
          <w:tab w:leader="none" w:pos="1008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А.А.</w:t>
        <w:tab/>
        <w:t>Кутейников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right"/>
        <w:spacing w:before="0" w:after="3603" w:line="638" w:lineRule="exact"/>
        <w:ind w:left="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Кутейников А.А. </w:t>
      </w:r>
      <w:r>
        <w:fldChar w:fldCharType="begin"/>
      </w:r>
      <w:r>
        <w:rPr>
          <w:color w:val="000000"/>
        </w:rPr>
        <w:instrText> HYPERLINK "mailto:to77-kuteynikov@fas.gov.ru"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to77-kuteynikov@fas.gov.ru</w:t>
      </w:r>
      <w:r>
        <w:fldChar w:fldCharType="end"/>
      </w:r>
    </w:p>
    <w:sectPr>
      <w:pgSz w:w="11906" w:h="16838"/>
      <w:pgMar w:top="1528" w:left="847" w:right="845" w:bottom="184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6.02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21"/>
      <w:numFmt w:val="decimal"/>
      <w:lvlText w:val="09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2021"/>
      <w:numFmt w:val="decimal"/>
      <w:lvlText w:val="09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4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9"/>
      <w:szCs w:val="9"/>
      <w:rFonts w:ascii="Tahoma" w:eastAsia="Tahoma" w:hAnsi="Tahoma" w:cs="Tahoma"/>
      <w:spacing w:val="-1"/>
    </w:rPr>
  </w:style>
  <w:style w:type="character" w:customStyle="1" w:styleId="CharStyle7">
    <w:name w:val="Основной текст (4) + Microsoft Sans Serif,5,5 pt,Курсив,Интервал 0 pt Exact"/>
    <w:basedOn w:val="CharStyle6"/>
    <w:rPr>
      <w:lang w:val="ru-RU" w:eastAsia="ru-RU" w:bidi="ru-RU"/>
      <w:i/>
      <w:iCs/>
      <w:sz w:val="11"/>
      <w:szCs w:val="11"/>
      <w:rFonts w:ascii="Microsoft Sans Serif" w:eastAsia="Microsoft Sans Serif" w:hAnsi="Microsoft Sans Serif" w:cs="Microsoft Sans Serif"/>
      <w:w w:val="100"/>
      <w:spacing w:val="0"/>
      <w:color w:val="000000"/>
      <w:position w:val="0"/>
    </w:rPr>
  </w:style>
  <w:style w:type="character" w:customStyle="1" w:styleId="CharStyle8">
    <w:name w:val="Основной текст (4) Exact"/>
    <w:basedOn w:val="CharStyle6"/>
    <w:rPr>
      <w:lang w:val="ru-RU" w:eastAsia="ru-RU" w:bidi="ru-RU"/>
      <w:w w:val="100"/>
      <w:color w:val="000000"/>
      <w:position w:val="0"/>
    </w:rPr>
  </w:style>
  <w:style w:type="character" w:customStyle="1" w:styleId="CharStyle9">
    <w:name w:val="Основной текст (4) Exact"/>
    <w:basedOn w:val="CharStyle6"/>
    <w:rPr>
      <w:lang w:val="ru-RU" w:eastAsia="ru-RU" w:bidi="ru-RU"/>
      <w:w w:val="100"/>
      <w:color w:val="000000"/>
      <w:position w:val="0"/>
    </w:rPr>
  </w:style>
  <w:style w:type="character" w:customStyle="1" w:styleId="CharStyle11">
    <w:name w:val="Основной текст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1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2)_"/>
    <w:basedOn w:val="DefaultParagraphFont"/>
    <w:link w:val="Style1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Основной текст + Курсив"/>
    <w:basedOn w:val="CharStyle1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8">
    <w:name w:val="Основной текст + Курсив"/>
    <w:basedOn w:val="CharStyle11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character" w:customStyle="1" w:styleId="CharStyle20">
    <w:name w:val="Основной текст (3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</w:rPr>
  </w:style>
  <w:style w:type="character" w:customStyle="1" w:styleId="CharStyle21">
    <w:name w:val="Основной текст (3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2">
    <w:name w:val="Основной текст (3) + 4,5 pt"/>
    <w:basedOn w:val="CharStyle20"/>
    <w:rPr>
      <w:lang w:val="ru-RU" w:eastAsia="ru-RU" w:bidi="ru-RU"/>
      <w:sz w:val="9"/>
      <w:szCs w:val="9"/>
      <w:w w:val="100"/>
      <w:spacing w:val="0"/>
      <w:color w:val="000000"/>
      <w:position w:val="0"/>
    </w:rPr>
  </w:style>
  <w:style w:type="character" w:customStyle="1" w:styleId="CharStyle23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  <w:spacing w:val="-1"/>
    </w:rPr>
  </w:style>
  <w:style w:type="character" w:customStyle="1" w:styleId="CharStyle24">
    <w:name w:val="Основной текст (3) Exact"/>
    <w:basedOn w:val="CharStyle20"/>
    <w:rPr>
      <w:lang w:val="ru-RU" w:eastAsia="ru-RU" w:bidi="ru-RU"/>
      <w:w w:val="100"/>
      <w:spacing w:val="-1"/>
      <w:color w:val="000000"/>
      <w:position w:val="0"/>
    </w:rPr>
  </w:style>
  <w:style w:type="character" w:customStyle="1" w:styleId="CharStyle25">
    <w:name w:val="Основной текст (3) + 4,5 pt,Интервал 0 pt Exact"/>
    <w:basedOn w:val="CharStyle20"/>
    <w:rPr>
      <w:lang w:val="ru-RU" w:eastAsia="ru-RU" w:bidi="ru-RU"/>
      <w:sz w:val="9"/>
      <w:szCs w:val="9"/>
      <w:w w:val="100"/>
      <w:spacing w:val="2"/>
      <w:color w:val="000000"/>
      <w:position w:val="0"/>
    </w:rPr>
  </w:style>
  <w:style w:type="character" w:customStyle="1" w:styleId="CharStyle26">
    <w:name w:val="Основной текст (3) + 4,5 pt,Интервал 0 pt Exact"/>
    <w:basedOn w:val="CharStyle20"/>
    <w:rPr>
      <w:lang w:val="ru-RU" w:eastAsia="ru-RU" w:bidi="ru-RU"/>
      <w:sz w:val="9"/>
      <w:szCs w:val="9"/>
      <w:w w:val="100"/>
      <w:spacing w:val="2"/>
      <w:color w:val="000000"/>
      <w:position w:val="0"/>
    </w:rPr>
  </w:style>
  <w:style w:type="character" w:customStyle="1" w:styleId="CharStyle28">
    <w:name w:val="Основной текст (7) Exact"/>
    <w:basedOn w:val="DefaultParagraphFont"/>
    <w:link w:val="Style27"/>
    <w:rPr>
      <w:b/>
      <w:bCs/>
      <w:i/>
      <w:iCs/>
      <w:u w:val="none"/>
      <w:strike w:val="0"/>
      <w:smallCaps w:val="0"/>
      <w:sz w:val="26"/>
      <w:szCs w:val="26"/>
      <w:rFonts w:ascii="Tahoma" w:eastAsia="Tahoma" w:hAnsi="Tahoma" w:cs="Tahoma"/>
      <w:spacing w:val="-47"/>
    </w:rPr>
  </w:style>
  <w:style w:type="character" w:customStyle="1" w:styleId="CharStyle29">
    <w:name w:val="Основной текст (7) Exact"/>
    <w:basedOn w:val="CharStyle28"/>
    <w:rPr>
      <w:lang w:val="ru-RU" w:eastAsia="ru-RU" w:bidi="ru-RU"/>
      <w:w w:val="100"/>
      <w:color w:val="000000"/>
      <w:position w:val="0"/>
    </w:rPr>
  </w:style>
  <w:style w:type="character" w:customStyle="1" w:styleId="CharStyle30">
    <w:name w:val="Основной текст (3) Exact"/>
    <w:basedOn w:val="CharStyle20"/>
    <w:rPr>
      <w:lang w:val="ru-RU" w:eastAsia="ru-RU" w:bidi="ru-RU"/>
      <w:w w:val="100"/>
      <w:spacing w:val="-1"/>
      <w:color w:val="000000"/>
      <w:position w:val="0"/>
    </w:rPr>
  </w:style>
  <w:style w:type="character" w:customStyle="1" w:styleId="CharStyle31">
    <w:name w:val="Основной текст (3) + 5 pt,Полужирный,Интервал 0 pt Exact"/>
    <w:basedOn w:val="CharStyle20"/>
    <w:rPr>
      <w:lang w:val="ru-RU" w:eastAsia="ru-RU" w:bidi="ru-RU"/>
      <w:b/>
      <w:bCs/>
      <w:sz w:val="10"/>
      <w:szCs w:val="10"/>
      <w:w w:val="100"/>
      <w:spacing w:val="6"/>
      <w:color w:val="000000"/>
      <w:position w:val="0"/>
    </w:rPr>
  </w:style>
  <w:style w:type="character" w:customStyle="1" w:styleId="CharStyle33">
    <w:name w:val="Основной текст (5)_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9"/>
      <w:szCs w:val="9"/>
      <w:rFonts w:ascii="Tahoma" w:eastAsia="Tahoma" w:hAnsi="Tahoma" w:cs="Tahoma"/>
    </w:rPr>
  </w:style>
  <w:style w:type="character" w:customStyle="1" w:styleId="CharStyle34">
    <w:name w:val="Основной текст (5)"/>
    <w:basedOn w:val="CharStyle3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6">
    <w:name w:val="Основной текст (6)_"/>
    <w:basedOn w:val="DefaultParagraphFont"/>
    <w:link w:val="Style35"/>
    <w:rPr>
      <w:b/>
      <w:bCs/>
      <w:i w:val="0"/>
      <w:iCs w:val="0"/>
      <w:u w:val="none"/>
      <w:strike w:val="0"/>
      <w:smallCaps w:val="0"/>
      <w:sz w:val="10"/>
      <w:szCs w:val="10"/>
      <w:rFonts w:ascii="Tahoma" w:eastAsia="Tahoma" w:hAnsi="Tahoma" w:cs="Tahoma"/>
    </w:rPr>
  </w:style>
  <w:style w:type="character" w:customStyle="1" w:styleId="CharStyle37">
    <w:name w:val="Основной текст (6)"/>
    <w:basedOn w:val="CharStyle3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8">
    <w:name w:val="Основной текст (3)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0">
    <w:name w:val="Подпись к таблице_"/>
    <w:basedOn w:val="DefaultParagraphFont"/>
    <w:link w:val="Style39"/>
    <w:rPr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</w:rPr>
  </w:style>
  <w:style w:type="character" w:customStyle="1" w:styleId="CharStyle41">
    <w:name w:val="Подпись к таблице"/>
    <w:basedOn w:val="CharStyle4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2">
    <w:name w:val="Подпись к таблице"/>
    <w:basedOn w:val="CharStyle4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3">
    <w:name w:val="Подпись к таблице"/>
    <w:basedOn w:val="CharStyle4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4">
    <w:name w:val="Основной текст + 17 pt,Полужирный"/>
    <w:basedOn w:val="CharStyle11"/>
    <w:rPr>
      <w:lang w:val="ru-RU" w:eastAsia="ru-RU" w:bidi="ru-RU"/>
      <w:b/>
      <w:bCs/>
      <w:sz w:val="34"/>
      <w:szCs w:val="34"/>
      <w:w w:val="100"/>
      <w:spacing w:val="0"/>
      <w:color w:val="000000"/>
      <w:position w:val="0"/>
    </w:rPr>
  </w:style>
  <w:style w:type="character" w:customStyle="1" w:styleId="CharStyle45">
    <w:name w:val="Основной текст + 9 pt,Курсив"/>
    <w:basedOn w:val="CharStyle11"/>
    <w:rPr>
      <w:lang w:val="ru-RU" w:eastAsia="ru-RU" w:bidi="ru-RU"/>
      <w:i/>
      <w:iCs/>
      <w:sz w:val="18"/>
      <w:szCs w:val="18"/>
      <w:w w:val="100"/>
      <w:spacing w:val="0"/>
      <w:color w:val="FFFFFF"/>
      <w:position w:val="0"/>
    </w:rPr>
  </w:style>
  <w:style w:type="character" w:customStyle="1" w:styleId="CharStyle46">
    <w:name w:val="Основной текст + 9 pt,Курсив"/>
    <w:basedOn w:val="CharStyle11"/>
    <w:rPr>
      <w:lang w:val="ru-RU" w:eastAsia="ru-RU" w:bidi="ru-RU"/>
      <w:i/>
      <w:iCs/>
      <w:sz w:val="18"/>
      <w:szCs w:val="18"/>
      <w:w w:val="100"/>
      <w:spacing w:val="0"/>
      <w:color w:val="FFFFFF"/>
      <w:position w:val="0"/>
    </w:rPr>
  </w:style>
  <w:style w:type="character" w:customStyle="1" w:styleId="CharStyle47">
    <w:name w:val="Основной текст + 7,5 pt,Интервал -1 pt"/>
    <w:basedOn w:val="CharStyle11"/>
    <w:rPr>
      <w:lang w:val="ru-RU" w:eastAsia="ru-RU" w:bidi="ru-RU"/>
      <w:sz w:val="15"/>
      <w:szCs w:val="15"/>
      <w:w w:val="100"/>
      <w:spacing w:val="-20"/>
      <w:color w:val="FFFFFF"/>
      <w:position w:val="0"/>
    </w:rPr>
  </w:style>
  <w:style w:type="character" w:customStyle="1" w:styleId="CharStyle48">
    <w:name w:val="Основной текст + 7,5 pt,Интервал -1 pt"/>
    <w:basedOn w:val="CharStyle11"/>
    <w:rPr>
      <w:lang w:val="ru-RU" w:eastAsia="ru-RU" w:bidi="ru-RU"/>
      <w:sz w:val="15"/>
      <w:szCs w:val="15"/>
      <w:w w:val="100"/>
      <w:spacing w:val="-20"/>
      <w:color w:val="FFFFFF"/>
      <w:position w:val="0"/>
    </w:rPr>
  </w:style>
  <w:style w:type="character" w:customStyle="1" w:styleId="CharStyle49">
    <w:name w:val="Основной текст + Calibri,8,5 pt,Курсив,Интервал -1 pt"/>
    <w:basedOn w:val="CharStyle11"/>
    <w:rPr>
      <w:lang w:val="en-US" w:eastAsia="en-US" w:bidi="en-US"/>
      <w:i/>
      <w:iCs/>
      <w:sz w:val="17"/>
      <w:szCs w:val="17"/>
      <w:rFonts w:ascii="Calibri" w:eastAsia="Calibri" w:hAnsi="Calibri" w:cs="Calibri"/>
      <w:w w:val="100"/>
      <w:spacing w:val="-20"/>
      <w:color w:val="FFFFFF"/>
      <w:position w:val="0"/>
    </w:rPr>
  </w:style>
  <w:style w:type="character" w:customStyle="1" w:styleId="CharStyle50">
    <w:name w:val="Основной текст + Calibri,8,5 pt,Курсив,Интервал -1 pt"/>
    <w:basedOn w:val="CharStyle11"/>
    <w:rPr>
      <w:lang w:val="ru-RU" w:eastAsia="ru-RU" w:bidi="ru-RU"/>
      <w:i/>
      <w:iCs/>
      <w:sz w:val="17"/>
      <w:szCs w:val="17"/>
      <w:rFonts w:ascii="Calibri" w:eastAsia="Calibri" w:hAnsi="Calibri" w:cs="Calibri"/>
      <w:w w:val="100"/>
      <w:spacing w:val="-20"/>
      <w:color w:val="FFFFFF"/>
      <w:position w:val="0"/>
    </w:rPr>
  </w:style>
  <w:style w:type="character" w:customStyle="1" w:styleId="CharStyle51">
    <w:name w:val="Основной текст + Calibri,8,5 pt,Курсив,Интервал -1 pt"/>
    <w:basedOn w:val="CharStyle11"/>
    <w:rPr>
      <w:lang w:val="ru-RU" w:eastAsia="ru-RU" w:bidi="ru-RU"/>
      <w:i/>
      <w:iCs/>
      <w:sz w:val="17"/>
      <w:szCs w:val="17"/>
      <w:rFonts w:ascii="Calibri" w:eastAsia="Calibri" w:hAnsi="Calibri" w:cs="Calibri"/>
      <w:w w:val="100"/>
      <w:spacing w:val="-20"/>
      <w:color w:val="FFFFFF"/>
      <w:position w:val="0"/>
    </w:rPr>
  </w:style>
  <w:style w:type="character" w:customStyle="1" w:styleId="CharStyle52">
    <w:name w:val="Основной текст + 7,5 pt,Интервал -1 pt"/>
    <w:basedOn w:val="CharStyle11"/>
    <w:rPr>
      <w:lang w:val="ru-RU" w:eastAsia="ru-RU" w:bidi="ru-RU"/>
      <w:sz w:val="15"/>
      <w:szCs w:val="15"/>
      <w:w w:val="100"/>
      <w:spacing w:val="-20"/>
      <w:color w:val="FFFFFF"/>
      <w:position w:val="0"/>
    </w:rPr>
  </w:style>
  <w:style w:type="character" w:customStyle="1" w:styleId="CharStyle53">
    <w:name w:val="Основной текст + 7,5 pt,Интервал -1 pt"/>
    <w:basedOn w:val="CharStyle11"/>
    <w:rPr>
      <w:lang w:val="ru-RU" w:eastAsia="ru-RU" w:bidi="ru-RU"/>
      <w:sz w:val="15"/>
      <w:szCs w:val="15"/>
      <w:w w:val="100"/>
      <w:spacing w:val="-20"/>
      <w:color w:val="FFFFFF"/>
      <w:position w:val="0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ahoma" w:eastAsia="Tahoma" w:hAnsi="Tahoma" w:cs="Tahoma"/>
      <w:spacing w:val="-1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2)"/>
    <w:basedOn w:val="Normal"/>
    <w:link w:val="CharStyle14"/>
    <w:pPr>
      <w:widowControl w:val="0"/>
      <w:shd w:val="clear" w:color="auto" w:fill="FFFFFF"/>
      <w:spacing w:before="1500" w:line="293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9">
    <w:name w:val="Основной текст (3)"/>
    <w:basedOn w:val="Normal"/>
    <w:link w:val="CharStyle20"/>
    <w:pPr>
      <w:widowControl w:val="0"/>
      <w:shd w:val="clear" w:color="auto" w:fill="FFFFFF"/>
      <w:spacing w:line="197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</w:rPr>
  </w:style>
  <w:style w:type="paragraph" w:customStyle="1" w:styleId="Style27">
    <w:name w:val="Основной текст (7)"/>
    <w:basedOn w:val="Normal"/>
    <w:link w:val="CharStyle28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26"/>
      <w:szCs w:val="26"/>
      <w:rFonts w:ascii="Tahoma" w:eastAsia="Tahoma" w:hAnsi="Tahoma" w:cs="Tahoma"/>
      <w:spacing w:val="-47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FFFFFF"/>
      <w:spacing w:after="60" w:line="144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ahoma" w:eastAsia="Tahoma" w:hAnsi="Tahoma" w:cs="Tahoma"/>
    </w:rPr>
  </w:style>
  <w:style w:type="paragraph" w:customStyle="1" w:styleId="Style35">
    <w:name w:val="Основной текст (6)"/>
    <w:basedOn w:val="Normal"/>
    <w:link w:val="CharStyle36"/>
    <w:pPr>
      <w:widowControl w:val="0"/>
      <w:shd w:val="clear" w:color="auto" w:fill="FFFFFF"/>
      <w:spacing w:before="540" w:after="660" w:line="0" w:lineRule="exact"/>
    </w:pPr>
    <w:rPr>
      <w:b/>
      <w:bCs/>
      <w:i w:val="0"/>
      <w:iCs w:val="0"/>
      <w:u w:val="none"/>
      <w:strike w:val="0"/>
      <w:smallCaps w:val="0"/>
      <w:sz w:val="10"/>
      <w:szCs w:val="10"/>
      <w:rFonts w:ascii="Tahoma" w:eastAsia="Tahoma" w:hAnsi="Tahoma" w:cs="Tahoma"/>
    </w:rPr>
  </w:style>
  <w:style w:type="paragraph" w:customStyle="1" w:styleId="Style39">
    <w:name w:val="Подпись к таблице"/>
    <w:basedOn w:val="Normal"/>
    <w:link w:val="CharStyle40"/>
    <w:pPr>
      <w:widowControl w:val="0"/>
      <w:shd w:val="clear" w:color="auto" w:fill="FFFFFF"/>
      <w:jc w:val="both"/>
      <w:spacing w:line="197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ahoma" w:eastAsia="Tahoma" w:hAnsi="Tahoma" w:cs="Tahom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