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18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 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 w:line="400" w:lineRule="exact"/>
        <w:ind w:left="0" w:right="44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аглы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/jh </w:t>
      </w:r>
      <w:r>
        <w:rPr>
          <w:rStyle w:val="CharStyle11"/>
          <w:i/>
          <w:iCs/>
        </w:rPr>
        <w:t>ЗЛ//р£</w:t>
      </w:r>
      <w:bookmarkEnd w:id="1"/>
    </w:p>
    <w:p>
      <w:pPr>
        <w:pStyle w:val="Style12"/>
        <w:tabs>
          <w:tab w:leader="none" w:pos="2142" w:val="righ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5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ГУП КК «Спецхране»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90" w:line="30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Зеркальная, д. 50/1, г. Петропавловск- Камчатский, 683024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9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«Консультант Аудит»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0" w:line="29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Горького, д. 242, г. Благовещенск, Амурская область, 675000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483" w:left="1233" w:right="1377" w:bottom="1483" w:header="0" w:footer="3" w:gutter="0"/>
          <w:rtlGutter w:val="0"/>
          <w:cols w:num="2" w:space="720" w:equalWidth="0">
            <w:col w:w="3888" w:space="828"/>
            <w:col w:w="457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АО «ЕЭТП»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infofa),roseltore.ru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231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041/06/54.7-46/2021</w:t>
      </w:r>
    </w:p>
    <w:p>
      <w:pPr>
        <w:pStyle w:val="Style12"/>
        <w:tabs>
          <w:tab w:leader="none" w:pos="6208" w:val="center"/>
          <w:tab w:leader="none" w:pos="9459" w:val="right"/>
        </w:tabs>
        <w:widowControl w:val="0"/>
        <w:keepNext w:val="0"/>
        <w:keepLines w:val="0"/>
        <w:shd w:val="clear" w:color="auto" w:fill="auto"/>
        <w:bidi w:val="0"/>
        <w:spacing w:before="0" w:after="21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 февраля 2021 г.</w:t>
        <w:tab/>
        <w:t>г.</w:t>
        <w:tab/>
        <w:t>Петропавловск-Камчатский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(далее - Комиссия) в составе: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начальника отдела антимонопольного контроля и закупок Парфирьевой С.Н., членов Комиссии: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главного государственного инспектора отдела антимонопольного контроля и закупок Шихановой Л.Б.,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специалиста эксперта отдела антимонопольного контроля и закупок Косаревой Ю.С.,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представителей: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- государственного унитарного предприятия Камчатского края «Спецтранс» (далее - Заказчик): Жукова А.В. (по доверенности от 15.02.2021),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заинтересованного лица - общества с ограниченной ответственностью «Аудиторская фирма «Профи»: Щербань Т.В, (по доверенности от 14.12.2020), Семенова А.В. (по доверенности от 14.12.2020),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заявителя - общества с ограниченной ответственностью «Консультант Аудит» (далее - Заявитель), уведомленного о месте и времени рассмотрения жалобы по адресу электронной почты,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73" w:line="28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Заявителя на действия конкурсной комиссии Заказчика при определении исполнителя путем открытого конкурса в электронной форме на оказание услуг по проведению аудита бухгалтерской (финансовой) отчетности ГУП</w:t>
        <w:br w:type="page"/>
        <w:t>«Спецтранс» за 2020 год (закупка № 0538300000320000008),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252" w:line="240" w:lineRule="exact"/>
        <w:ind w:left="354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2"/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проводилась процедура определения исполнителя путем открытого конкурса в электронной форме (далее - Конкурс) на оказание услуг по проведению аудита бухгалтерской (финансовой) отчетности ГУП «Спецтранс» за 2020 год (закупка № 0538300000320000008) (далее - Закупка). Извещение, документация о Закупке размещены в единой информационной системе 30.12.2020, Начальная (максимальная) цена контракта установлена в размере 140 000,00 рублей.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Конкурса от 08.02.2021 участникам Конкурса ООО «Аудиторская фирма «Профи», ООО «Аудит-Стандарт» присвоены порядковые номера 1, 2 соответственно.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40" w:line="295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Победителем Конкурса признано ООО «Аудиторская фирма «Профи».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10.02.2021 в Камчатское УФАС России поступила жалоба Заявителя на действия конкурсной комиссии Заказчика. В обоснование жалобы приведены следующие доводы.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Участники Конкурса ООО «Аудиторская фирма «Профи» и ООО «Аудит- Стандарт» предоставили недостоверную информацию в отношении опыта по успешному выполнению работ сопоставимого характера и объема в выигранных закупках на проведение ежегодного обязательного аудита муниципальных, государственных предприятий и организаций с долей государственной собственности не менее 25% в период с 01.01.2020 до даты подачи заявки. При этом конкурсная комиссия не проверила данный факт и не отстранила их от участия в конкурсе.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229" w:line="295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протоколах оценки вторых частей заявок, подведения итогов Конкурса отсутствует порядок оценки по критерию, предусмотренному пунктом 4 части 1 статьи 32 Закона о контрактной системе, в том числе сведения о том, какие документы и в каком количестве представлены участниками закупки, сколько из них засчитано конкурсной комиссией.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49" w:line="310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с доводами жалобы не согласился. В письме от 15.02.2021 № 473 представил возражения на доводы жалобы.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2"/>
        <w:numPr>
          <w:ilvl w:val="0"/>
          <w:numId w:val="5"/>
        </w:numPr>
        <w:tabs>
          <w:tab w:leader="none" w:pos="1024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Порядок рассмотрения и оценки вторых частей заявок установлен в статье</w:t>
      </w:r>
    </w:p>
    <w:p>
      <w:pPr>
        <w:pStyle w:val="Style12"/>
        <w:numPr>
          <w:ilvl w:val="0"/>
          <w:numId w:val="7"/>
        </w:numPr>
        <w:tabs>
          <w:tab w:leader="none" w:pos="592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4 статьи 54.7 Закона о контрактной системе заявка на участие в Конкурсе признается не соответствующей требованиям, установленным конкурсной документацией:</w:t>
      </w:r>
    </w:p>
    <w:p>
      <w:pPr>
        <w:pStyle w:val="Style12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непредставления документов и информации, предусмотренных пунктами 1 - 3, 7 части 6 статьи 54.4 Закона о контрактной системе, либо несоответствия указанных документов и информации требованиям, установленным конкурсной документацией;</w:t>
      </w:r>
    </w:p>
    <w:p>
      <w:pPr>
        <w:pStyle w:val="Style12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наличия в документах и информации, предусмотренных частью 11 статьи 24.1, частями 4 и 6 статьи 54.4 Закона о контрактной системе, недостоверной информации на дату и время рассмотрения вторых частей заявок на участие в таком конкурсе;</w:t>
      </w:r>
    </w:p>
    <w:p>
      <w:pPr>
        <w:pStyle w:val="Style12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Закона о контрактной системе;</w:t>
      </w:r>
    </w:p>
    <w:p>
      <w:pPr>
        <w:pStyle w:val="Style12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случаях, предусмотренных нормативными правовыми актами, принятыми в соответствии со статьей 14 Закона о контрактной системе;</w:t>
      </w:r>
    </w:p>
    <w:p>
      <w:pPr>
        <w:pStyle w:val="Style12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непредставления документов, предусмотренных пунктом 5 части 6 статьи 54.4 Закона о контрактной системе, при осуществлении закупки товаров, работ, услуг, в отношении которых установлен запрет, предусмотренный статьей 14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5 статьи 54.7 Закона о контрактной системе в случае установления недостоверности информации, представленной участником Конкурса, конкурсная комиссия обязана отстранить такого участника от участия в этом конкурсе на любом этапе его проведения.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4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пункту 6 части 6 статьи 54.4 Закона о контрактной системе вторая часть заявки на участие в Конкурсе должна содержать требуемые заказчиком в конкурсной документации информацию и документы, в частности документы, подтверждающие квалификацию участника Конкурса. </w:t>
      </w:r>
      <w:r>
        <w:rPr>
          <w:rStyle w:val="CharStyle17"/>
        </w:rPr>
        <w:t>При этом отсутствие этих документов не является основанием для признания заявки на участие в Конкурсе не соответствующей требованиям документации о таком конкурсе</w:t>
      </w:r>
      <w:r>
        <w:rPr>
          <w:rStyle w:val="CharStyle18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49 раздела 1.9 «Критерии оценки заявок на участие в Конкурсе, величины значимости этих критериев. Порядок рассмотрения и оценки заявок на участие в Конкурсе» документации о Закупке оценка заявок на участие в Конкурсе осуществляется в соответствии со статьей 32 Закона о контрактной системе и «Правилами оценки заявок, окончательных предложений участников закупки товаров, работ, услуг для обеспечения государственных и муниципальных нужд», утвержденными Постановлением Правительства Российской Федерации от 28.11.2013 № 1085 (далее - Правила), в порядке, определенном в приложении к данному разделу «Оценка заявок на участие в открытом конкурсе и критерии этой оценки».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Оценка заявок на участие в Конкурсе осуществляется в том числе по нестоимостному критерию -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в следующем порядке.</w:t>
      </w:r>
    </w:p>
    <w:tbl>
      <w:tblPr>
        <w:tblOverlap w:val="never"/>
        <w:tblLayout w:type="fixed"/>
        <w:jc w:val="center"/>
      </w:tblPr>
      <w:tblGrid>
        <w:gridCol w:w="716"/>
        <w:gridCol w:w="3301"/>
        <w:gridCol w:w="3337"/>
        <w:gridCol w:w="2639"/>
      </w:tblGrid>
      <w:tr>
        <w:trPr>
          <w:trHeight w:val="37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80" w:right="0" w:firstLine="0"/>
            </w:pPr>
            <w:r>
              <w:rPr>
                <w:rStyle w:val="CharStyle19"/>
              </w:rPr>
              <w:t>№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8" w:lineRule="exact"/>
              <w:ind w:left="0" w:right="0" w:firstLine="0"/>
            </w:pPr>
            <w:r>
              <w:rPr>
                <w:rStyle w:val="CharStyle20"/>
              </w:rPr>
              <w:t>Составляющие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договора, и деловой репутации, специалистов и иных работников определенного уровня квал иф икации»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8" w:lineRule="exact"/>
              <w:ind w:left="0" w:right="0" w:firstLine="0"/>
            </w:pPr>
            <w:r>
              <w:rPr>
                <w:rStyle w:val="CharStyle20"/>
              </w:rPr>
              <w:t>Кол-во баллов, присваиваемых по каждому из показателей указанного критерия (максимальное и минимальное значение), в баллах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8" w:lineRule="exact"/>
              <w:ind w:left="0" w:right="0" w:firstLine="0"/>
            </w:pPr>
            <w:r>
              <w:rPr>
                <w:rStyle w:val="CharStyle20"/>
              </w:rPr>
              <w:t>Коэффициент значимости каждого подкритерия</w:t>
            </w:r>
          </w:p>
        </w:tc>
      </w:tr>
      <w:tr>
        <w:trPr>
          <w:trHeight w:val="352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80" w:right="0" w:firstLine="0"/>
            </w:pPr>
            <w:r>
              <w:rPr>
                <w:rStyle w:val="CharStyle19"/>
              </w:rPr>
              <w:t>2.1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19"/>
              </w:rPr>
              <w:t xml:space="preserve">Количество выигранных закупок на проведение ежегодного обязательного аудита муниципальных, государственных предприятий и организаций с долей государственной собственностью не менее 25% (количество закупок в период с 01.01.2010 до даты подачи заявки (подтверждается реестровым номером закупки из единой информационной системе </w:t>
            </w:r>
            <w:r>
              <w:fldChar w:fldCharType="begin"/>
            </w:r>
            <w:r>
              <w:rPr>
                <w:rStyle w:val="CharStyle19"/>
              </w:rPr>
              <w:instrText> HYPERLINK "http://www.zakimki.gov.ru" </w:instrText>
            </w:r>
            <w:r>
              <w:fldChar w:fldCharType="separate"/>
            </w:r>
            <w:r>
              <w:rPr>
                <w:rStyle w:val="Hyperlink"/>
                <w:lang w:val="en-US" w:eastAsia="en-US" w:bidi="en-US"/>
              </w:rPr>
              <w:t>www.zakimki.gov.ru</w:t>
            </w:r>
            <w:r>
              <w:fldChar w:fldCharType="end"/>
            </w:r>
            <w:r>
              <w:rPr>
                <w:rStyle w:val="CharStyle19"/>
                <w:lang w:val="en-US" w:eastAsia="en-US" w:bidi="en-US"/>
              </w:rPr>
              <w:t>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От 0 до 100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19"/>
              </w:rPr>
              <w:t>Нет опыта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0,8</w:t>
            </w:r>
          </w:p>
        </w:tc>
      </w:tr>
      <w:tr>
        <w:trPr>
          <w:trHeight w:val="32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19"/>
              </w:rPr>
              <w:t>1-300 выигранных конкурсов;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301-400 выигранных конкурсов;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401-400 выигранных конкурсов;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15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5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451-500 выигранных конкурсов;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30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501-550 выигранных конкурсов;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50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9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551-600 выигранных конкурсов;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60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601-650 выигранных конкурсов;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70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05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651-710 выигранных конкурсов;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80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2" w:lineRule="exact"/>
              <w:ind w:left="120" w:right="0" w:firstLine="0"/>
            </w:pPr>
            <w:r>
              <w:rPr>
                <w:rStyle w:val="CharStyle19"/>
              </w:rPr>
              <w:t>710 и более выигранных конкурсов.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100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0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5" w:lineRule="exact"/>
              <w:ind w:left="120" w:right="0" w:firstLine="0"/>
            </w:pPr>
            <w:r>
              <w:rPr>
                <w:rStyle w:val="CharStyle19"/>
              </w:rPr>
              <w:t xml:space="preserve">(подтверждается реестровым номером закупки из единой информационной системе </w:t>
            </w:r>
            <w:r>
              <w:fldChar w:fldCharType="begin"/>
            </w:r>
            <w:r>
              <w:rPr>
                <w:rStyle w:val="CharStyle19"/>
              </w:rPr>
              <w:instrText> HYPERLINK "http://www.zakupki.eov.rul" </w:instrText>
            </w:r>
            <w:r>
              <w:fldChar w:fldCharType="separate"/>
            </w:r>
            <w:r>
              <w:rPr>
                <w:rStyle w:val="Hyperlink"/>
                <w:lang w:val="en-US" w:eastAsia="en-US" w:bidi="en-US"/>
              </w:rPr>
              <w:t>www.zakupki.eov.rul</w:t>
            </w:r>
            <w:r>
              <w:fldChar w:fldCharType="end"/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80" w:right="0" w:firstLine="0"/>
            </w:pPr>
            <w:r>
              <w:rPr>
                <w:rStyle w:val="CharStyle19"/>
              </w:rPr>
              <w:t>2.2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19"/>
              </w:rPr>
              <w:t>Квалификация трудовых ресурсов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2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От 0 до 100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716"/>
        <w:gridCol w:w="3283"/>
        <w:gridCol w:w="3312"/>
        <w:gridCol w:w="2653"/>
      </w:tblGrid>
      <w:tr>
        <w:trPr>
          <w:trHeight w:val="308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60" w:right="0" w:firstLine="0"/>
            </w:pPr>
            <w:r>
              <w:rPr>
                <w:rStyle w:val="CharStyle19"/>
              </w:rPr>
              <w:t>2.2.1.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2" w:lineRule="exact"/>
              <w:ind w:left="120" w:right="0" w:firstLine="0"/>
            </w:pPr>
            <w:r>
              <w:rPr>
                <w:rStyle w:val="CharStyle19"/>
              </w:rPr>
              <w:t>Количество аттестованных аудиторов, являющихся работниками аудиторской компании с опытом работы не менее 5 лет. (Подтверждается копиями трудовых договоров, копиями квалификационных аттестатов, а также копией расширенной выписки о штатном составе)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0,2</w:t>
            </w:r>
          </w:p>
        </w:tc>
      </w:tr>
      <w:tr>
        <w:trPr>
          <w:trHeight w:val="109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2" w:lineRule="exact"/>
              <w:ind w:left="120" w:right="0" w:firstLine="0"/>
            </w:pPr>
            <w:r>
              <w:rPr>
                <w:rStyle w:val="CharStyle19"/>
              </w:rPr>
              <w:t>При наличии в штате аудиторской организации:</w:t>
            </w:r>
          </w:p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2" w:lineRule="exact"/>
              <w:ind w:left="120" w:right="0" w:firstLine="0"/>
            </w:pPr>
            <w:r>
              <w:rPr>
                <w:rStyle w:val="CharStyle19"/>
              </w:rPr>
              <w:t>- менее 5-ти аттестованных аудитора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5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2" w:lineRule="exact"/>
              <w:ind w:left="120" w:right="0" w:firstLine="0"/>
            </w:pPr>
            <w:r>
              <w:rPr>
                <w:rStyle w:val="CharStyle19"/>
              </w:rPr>
              <w:t>- от 6 до 16 аттестованных аудитора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0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19"/>
              </w:rPr>
              <w:t>- от 17 до 19 аттестованных аудитора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10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8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3" w:lineRule="exact"/>
              <w:ind w:left="120" w:right="0" w:firstLine="0"/>
            </w:pPr>
            <w:r>
              <w:rPr>
                <w:rStyle w:val="CharStyle19"/>
              </w:rPr>
              <w:t>- от 20 до 24 аттестованных аудитора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20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6" w:lineRule="exact"/>
              <w:ind w:left="120" w:right="0" w:firstLine="0"/>
            </w:pPr>
            <w:r>
              <w:rPr>
                <w:rStyle w:val="CharStyle19"/>
              </w:rPr>
              <w:t>- от 25 до 29 аттестованных аудитора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30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01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2" w:lineRule="exact"/>
              <w:ind w:left="120" w:right="0" w:firstLine="0"/>
            </w:pPr>
            <w:r>
              <w:rPr>
                <w:rStyle w:val="CharStyle19"/>
              </w:rPr>
              <w:t>- от 30 до 34 аттестованных аудитора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50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19"/>
              </w:rPr>
              <w:t>- от 35 до 41 аттестованных аудитора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70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87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19"/>
              </w:rPr>
              <w:t>- от 42 и более аттестованных аудиторов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2"/>
              <w:framePr w:w="996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9"/>
              </w:rPr>
              <w:t>100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framePr w:w="996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255" w:after="0" w:line="295" w:lineRule="exact"/>
        <w:ind w:left="20" w:right="4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Комиссия, изучив заявки участников Закупки ООО «Аудиторская фирма «Профи», ООО «Аудит-Стандарт» установила, что количество выигранных закупок на проведение ежегодного обязательного аудита муниципальных, государственных предприятий и организаций с долей государственной собственностью не менее 25% (количество закупок в период с 01.01,2010 до даты подачи заявки) подтверждается реестровыми номерами закупок из единой информационной системы </w:t>
      </w:r>
      <w:r>
        <w:fldChar w:fldCharType="begin"/>
      </w:r>
      <w:r>
        <w:rPr>
          <w:rStyle w:val="CharStyle21"/>
        </w:rPr>
        <w:instrText> HYPERLINK "http://www.2akupki.gov.ru" </w:instrText>
      </w:r>
      <w:r>
        <w:fldChar w:fldCharType="separate"/>
      </w:r>
      <w:r>
        <w:rPr>
          <w:rStyle w:val="Hyperlink"/>
        </w:rPr>
        <w:t>www.</w:t>
      </w:r>
      <w:r>
        <w:rPr>
          <w:rStyle w:val="Hyperlink"/>
        </w:rPr>
        <w:t>2</w:t>
      </w:r>
      <w:r>
        <w:rPr>
          <w:rStyle w:val="Hyperlink"/>
        </w:rPr>
        <w:t>akupki.gov.ru</w:t>
      </w:r>
      <w:r>
        <w:fldChar w:fldCharType="end"/>
      </w:r>
      <w:r>
        <w:rPr>
          <w:rStyle w:val="CharStyle21"/>
        </w:rPr>
        <w:t>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представленными данными участниками Закупки в составе своих заявок.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Заявитель доказательств обратного не представил.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300" w:line="295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не нашел своего подтверждения.</w:t>
      </w:r>
    </w:p>
    <w:p>
      <w:pPr>
        <w:pStyle w:val="Style12"/>
        <w:numPr>
          <w:ilvl w:val="0"/>
          <w:numId w:val="5"/>
        </w:numPr>
        <w:tabs>
          <w:tab w:leader="none" w:pos="1046" w:val="lef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4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7 статьи 54.7 Закона о контактной системе результаты рассмотрения и оценки вторых частей заявок на участие в Конкурсе фиксируются в протоколе рассмотрения и оценки вторых частей заявок на участие в Конкурсе, подписываемом всеми присутствующими на заседании членами конкурсной комиссии не позднее даты окончания рассмотрения вторых частей заявок. Данный протокол должен содержать информацию:</w:t>
      </w:r>
    </w:p>
    <w:p>
      <w:pPr>
        <w:pStyle w:val="Style12"/>
        <w:numPr>
          <w:ilvl w:val="0"/>
          <w:numId w:val="11"/>
        </w:numPr>
        <w:tabs>
          <w:tab w:leader="none" w:pos="99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4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месте, дате, времени рассмотрения и оценки вторых частей заявок на участие в Конкурсе;</w:t>
      </w:r>
    </w:p>
    <w:p>
      <w:pPr>
        <w:pStyle w:val="Style12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 участниках Конкурса, заявки которых на участие в Конкурсе были рассмотрены;</w:t>
      </w:r>
    </w:p>
    <w:p>
      <w:pPr>
        <w:pStyle w:val="Style12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соответствии или несоответствии заявки на участие в Конкурсе требованиям, установленным конкурсной документацией, с обоснованием этого решения, в том числе с указанием положений законодательства Российской Федерации о контрактной системе, конкурсной документации, которым не соответствует эта заявка, и положений заявки на участие в Конкурсе, которые не соответствуют этим требованиям;</w:t>
      </w:r>
    </w:p>
    <w:p>
      <w:pPr>
        <w:pStyle w:val="Style12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решении каждого присутствующего члена конкурсной комиссии в отношении заявки на участие в Конкурсе каждого его участника;</w:t>
      </w:r>
    </w:p>
    <w:p>
      <w:pPr>
        <w:pStyle w:val="Style12"/>
        <w:numPr>
          <w:ilvl w:val="0"/>
          <w:numId w:val="11"/>
        </w:numPr>
        <w:tabs>
          <w:tab w:leader="none" w:pos="7904" w:val="center"/>
          <w:tab w:leader="none" w:pos="8293" w:val="center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порядке оценки заявок на участие в Конкурсе</w:t>
        <w:tab/>
        <w:t>по</w:t>
        <w:tab/>
        <w:t>критериям,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установленным конкурсной документацией, и решении каждого присутствующего члена конкурсной комиссии в отношении каждого участника Конкурса о присвоении ему баллов по таким критериям, за исключением критерия, указанного в пункте 3 части 1 статьи 32 данного Федерального закона.</w:t>
      </w:r>
    </w:p>
    <w:p>
      <w:pPr>
        <w:pStyle w:val="Style12"/>
        <w:tabs>
          <w:tab w:leader="none" w:pos="7610" w:val="center"/>
          <w:tab w:leader="none" w:pos="9511" w:val="righ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12 статьи 54.7 Закона о контрактной</w:t>
        <w:tab/>
        <w:t>системе</w:t>
        <w:tab/>
        <w:t>протокол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подведения итогов Конкурса должен содержать информацию: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 участниках Конкурса, заявки на участие в таком конкурсе которых были рассмотрены;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допуске участника закупки, подавшего заявку на участие в Конкурсе (с указанием ее идентификационного номера, присвоенного в соответствии с частью 10 статьи 54.4 данного Федерального закона),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решения, в том числе с указанием положений законодательства Российской Федерации о контрактной системе, конкурсной документации, которым не соответствует заявка на участие в Конкурсе этого участника, и положений заявки на участие в Конкурсе, которые не соответствуют требованиям, установленным конкурсной документацией;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решении каждого присутствующего члена конкурсной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конкурсе;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соответствии или несоответствии заявок на участие в Конкурсе требованиям, установленным конкурсной документацией, с обоснованием этого решения, в том числе с указанием положений законодательства Российской Федерации, конкурсной документации, которым не соответствует заявка на участие в Конкурсе, и положений заявки на участие в Конкурсе, которые не соответствуют этим требованиям;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решении каждого присутствующего члена конкурсной комиссии в отношении заявки на участие в Конкурсе каждого его участника;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порядке оценки заявок на участие в Конкурсе по критериям, установленным конкурсной документацией, и решении каждого присутствующего члена конкурсной комиссии в отношении каждого участника Конкурса о присвоении ему баллов по установленным критериям;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присвоенных заявкам на участие в Конкурсе значениях по каждому из предусмотренных критериев оценки заявок на участие в таком конкурсе;</w:t>
      </w:r>
    </w:p>
    <w:p>
      <w:pPr>
        <w:pStyle w:val="Style1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принятом на основании результатов оценки заявок на участие в Конкурсе решении о присвоении этим заявкам порядковых номеров;</w:t>
      </w:r>
      <w:r>
        <w:br w:type="page"/>
      </w:r>
    </w:p>
    <w:p>
      <w:pPr>
        <w:pStyle w:val="Style12"/>
        <w:numPr>
          <w:ilvl w:val="0"/>
          <w:numId w:val="13"/>
        </w:numPr>
        <w:tabs>
          <w:tab w:leader="none" w:pos="934" w:val="left"/>
        </w:tabs>
        <w:widowControl w:val="0"/>
        <w:keepNext w:val="0"/>
        <w:keepLines w:val="0"/>
        <w:shd w:val="clear" w:color="auto" w:fill="auto"/>
        <w:bidi w:val="0"/>
        <w:spacing w:before="0" w:after="237" w:line="295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наименовании (для юридических лиц), фамилии, об имени, отчестве (при наличии) (для физических лиц), о почтовых адресах участников Конкурса, заявкам на участие в Конкурсе которых присвоены первый и второй номера.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Комиссия, изучив протоколы оценки вторых частей заявок на участие в Конкурсе от 05.02.2021, подведения итогов Конкурса от 08.02.2021 установила, что данные протоколы содержат информацию, предусмотренную частями 7, 12 статьи</w:t>
      </w:r>
    </w:p>
    <w:p>
      <w:pPr>
        <w:pStyle w:val="Style12"/>
        <w:numPr>
          <w:ilvl w:val="0"/>
          <w:numId w:val="15"/>
        </w:numPr>
        <w:tabs>
          <w:tab w:leader="none" w:pos="621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52" w:line="260" w:lineRule="exact"/>
        <w:ind w:left="0" w:right="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довод не нашел своего подтверждения.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84" w:line="295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 и Административным регламентом, утвержденным приказом ФАС России от 19.11.2014 № 727/14, Комиссия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4" w:line="240" w:lineRule="exact"/>
        <w:ind w:left="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550" w:line="260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необоснованной.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64" w:line="260" w:lineRule="exact"/>
        <w:ind w:left="0" w:right="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2"/>
        <w:framePr w:h="240" w:wrap="around" w:vAnchor="text" w:hAnchor="margin" w:x="1006" w:y="-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</w:rPr>
        <w:t>Члены комиссии: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195" w:line="280" w:lineRule="exact"/>
        <w:ind w:left="0" w:right="20" w:firstLine="0"/>
      </w:pPr>
      <w:r>
        <w:rPr>
          <w:rStyle w:val="CharStyle23"/>
        </w:rPr>
        <w:t xml:space="preserve">л.Б.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Шиханова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280" w:firstLine="0"/>
      </w:pPr>
      <w:r>
        <w:rPr>
          <w:rStyle w:val="CharStyle26"/>
          <w:i/>
          <w:iCs/>
        </w:rPr>
        <w:t>/9</w:t>
      </w:r>
    </w:p>
    <w:p>
      <w:pPr>
        <w:pStyle w:val="Style12"/>
        <w:tabs>
          <w:tab w:leader="underscore" w:pos="7202" w:val="right"/>
          <w:tab w:leader="none" w:pos="8307" w:val="right"/>
        </w:tabs>
        <w:widowControl w:val="0"/>
        <w:keepNext w:val="0"/>
        <w:keepLines w:val="0"/>
        <w:shd w:val="clear" w:color="auto" w:fill="auto"/>
        <w:bidi w:val="0"/>
        <w:spacing w:before="0" w:after="0" w:line="300" w:lineRule="atLeast"/>
        <w:ind w:left="4160" w:right="0" w:firstLine="0"/>
      </w:pPr>
      <w:r>
        <w:rPr>
          <w:rStyle w:val="CharStyle27"/>
        </w:rPr>
        <w:t>Л/</w:t>
      </w:r>
      <w:r>
        <w:rPr>
          <w:rStyle w:val="CharStyle28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Ю.С.</w:t>
        <w:tab/>
        <w:t>Косарева</w:t>
      </w:r>
      <w:r>
        <w:br w:type="page"/>
      </w:r>
    </w:p>
    <w:sectPr>
      <w:type w:val="continuous"/>
      <w:pgSz w:w="11906" w:h="16838"/>
      <w:pgMar w:top="917" w:left="903" w:right="903" w:bottom="1662" w:header="0" w:footer="3" w:gutter="99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7"/>
      <w:numFmt w:val="decimal"/>
      <w:lvlText w:val="5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7"/>
      <w:numFmt w:val="decimal"/>
      <w:lvlText w:val="5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Заголовок №2_"/>
    <w:basedOn w:val="DefaultParagraphFont"/>
    <w:link w:val="Style5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/>
      <w:iCs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character" w:customStyle="1" w:styleId="CharStyle11">
    <w:name w:val="Заголовок №1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Заголовок №3_"/>
    <w:basedOn w:val="DefaultParagraphFont"/>
    <w:link w:val="Style1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 + Курсив"/>
    <w:basedOn w:val="CharStyle13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8">
    <w:name w:val="Основной текст + 10,5 pt,Полужирный"/>
    <w:basedOn w:val="CharStyle13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19">
    <w:name w:val="Основной текст + 11 pt"/>
    <w:basedOn w:val="CharStyle13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20">
    <w:name w:val="Основной текст + 11 pt,Курсив"/>
    <w:basedOn w:val="CharStyle13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21">
    <w:name w:val="Основной текст"/>
    <w:basedOn w:val="CharStyle13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+ Georgia,11 pt"/>
    <w:basedOn w:val="CharStyle13"/>
    <w:rPr>
      <w:lang w:val="en-US" w:eastAsia="en-US" w:bidi="en-US"/>
      <w:u w:val="single"/>
      <w:sz w:val="22"/>
      <w:szCs w:val="22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23">
    <w:name w:val="Основной текст + 14 pt"/>
    <w:basedOn w:val="CharStyle13"/>
    <w:rPr>
      <w:lang w:val="ru-RU" w:eastAsia="ru-RU" w:bidi="ru-RU"/>
      <w:sz w:val="28"/>
      <w:szCs w:val="28"/>
      <w:w w:val="100"/>
      <w:spacing w:val="0"/>
      <w:color w:val="000000"/>
      <w:position w:val="0"/>
    </w:rPr>
  </w:style>
  <w:style w:type="character" w:customStyle="1" w:styleId="CharStyle25">
    <w:name w:val="Основной текст (4)_"/>
    <w:basedOn w:val="DefaultParagraphFont"/>
    <w:link w:val="Style24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20"/>
    </w:rPr>
  </w:style>
  <w:style w:type="character" w:customStyle="1" w:styleId="CharStyle26">
    <w:name w:val="Основной текст (4)"/>
    <w:basedOn w:val="CharStyle25"/>
    <w:rPr>
      <w:lang w:val="ru-RU" w:eastAsia="ru-RU" w:bidi="ru-RU"/>
      <w:w w:val="100"/>
      <w:color w:val="000000"/>
      <w:position w:val="0"/>
    </w:rPr>
  </w:style>
  <w:style w:type="character" w:customStyle="1" w:styleId="CharStyle27">
    <w:name w:val="Основной текст + Tahoma,15 pt,Курсив,Интервал -2 pt"/>
    <w:basedOn w:val="CharStyle13"/>
    <w:rPr>
      <w:lang w:val="ru-RU" w:eastAsia="ru-RU" w:bidi="ru-RU"/>
      <w:i/>
      <w:iCs/>
      <w:u w:val="single"/>
      <w:sz w:val="30"/>
      <w:szCs w:val="30"/>
      <w:rFonts w:ascii="Tahoma" w:eastAsia="Tahoma" w:hAnsi="Tahoma" w:cs="Tahoma"/>
      <w:w w:val="100"/>
      <w:spacing w:val="-50"/>
      <w:color w:val="000000"/>
      <w:position w:val="0"/>
    </w:rPr>
  </w:style>
  <w:style w:type="character" w:customStyle="1" w:styleId="CharStyle28">
    <w:name w:val="Основной текст + Tahoma,15 pt,Курсив,Интервал -2 pt"/>
    <w:basedOn w:val="CharStyle13"/>
    <w:rPr>
      <w:lang w:val="1024"/>
      <w:i/>
      <w:iCs/>
      <w:u w:val="single"/>
      <w:sz w:val="30"/>
      <w:szCs w:val="30"/>
      <w:rFonts w:ascii="Tahoma" w:eastAsia="Tahoma" w:hAnsi="Tahoma" w:cs="Tahoma"/>
      <w:w w:val="100"/>
      <w:spacing w:val="-5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FFFFFF"/>
      <w:jc w:val="center"/>
      <w:outlineLvl w:val="1"/>
      <w:spacing w:before="180" w:after="60" w:line="324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52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right"/>
      <w:outlineLvl w:val="0"/>
      <w:spacing w:before="60" w:after="60" w:line="0" w:lineRule="exact"/>
    </w:pPr>
    <w:rPr>
      <w:b w:val="0"/>
      <w:bCs w:val="0"/>
      <w:i/>
      <w:iCs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Заголовок №3"/>
    <w:basedOn w:val="Normal"/>
    <w:link w:val="CharStyle16"/>
    <w:pPr>
      <w:widowControl w:val="0"/>
      <w:shd w:val="clear" w:color="auto" w:fill="FFFFFF"/>
      <w:outlineLvl w:val="2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FFFFFF"/>
      <w:jc w:val="center"/>
      <w:spacing w:before="240" w:line="0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