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66" w:after="148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" w:line="2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2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Архангельской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53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К.Либкнехта, 2, г.Архангельск,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9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</w:p>
    <w:p>
      <w:pPr>
        <w:pStyle w:val="Style10"/>
        <w:tabs>
          <w:tab w:leader="none" w:pos="4686" w:val="right"/>
        </w:tabs>
        <w:widowControl w:val="0"/>
        <w:keepNext/>
        <w:keepLines/>
        <w:shd w:val="clear" w:color="auto" w:fill="auto"/>
        <w:bidi w:val="0"/>
        <w:spacing w:before="0" w:after="193" w:line="5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  <w:tab/>
      </w:r>
      <w:r>
        <w:rPr>
          <w:rStyle w:val="CharStyle12"/>
        </w:rPr>
        <w:t>w</w:t>
      </w:r>
      <w:bookmarkEnd w:id="0"/>
    </w:p>
    <w:p>
      <w:pPr>
        <w:pStyle w:val="Style7"/>
        <w:tabs>
          <w:tab w:leader="none" w:pos="210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4"/>
        <w:ind w:left="2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30оз-21 029/06/67-139/2021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5"/>
          <w:b/>
          <w:bCs/>
        </w:rPr>
        <w:t>Заказчик 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АО "Коношская центральная районная больница"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Архангельская обл, Коношский р-н, Коноша рп, проспект Октябрьский, дом 105/корпус </w:t>
      </w:r>
      <w:r>
        <w:rPr>
          <w:rStyle w:val="CharStyle18"/>
        </w:rPr>
        <w:t>1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76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"mailto:konoshacrb@yandex.ru"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konoshacrb@yandex.ru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5"/>
          <w:b/>
          <w:bCs/>
        </w:rPr>
        <w:t>Уполномоченный орган (единая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5"/>
          <w:b/>
          <w:bCs/>
        </w:rPr>
        <w:t>комиссия):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163069, г. Архангельск, ул.Выучейского,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9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18,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5"/>
          <w:b/>
          <w:bCs/>
        </w:rPr>
        <w:t>Оператор электронной площадки: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2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119435, г. Москва, Большой Саввинский переулок, д. 12, стр. 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rStyle w:val="CharStyle15"/>
          <w:b/>
          <w:bCs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Внешнеэкономическая Дистрибьюторская фирма "АКЦЕПТ"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167000, Республика Коми, г. Сыктывкар, ул. Советская, д. 1</w:t>
      </w:r>
    </w:p>
    <w:p>
      <w:pPr>
        <w:pStyle w:val="Style16"/>
        <w:tabs>
          <w:tab w:leader="none" w:pos="420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  <w:tab/>
      </w:r>
      <w:r>
        <w:fldChar w:fldCharType="begin"/>
      </w:r>
      <w:r>
        <w:rPr>
          <w:color w:val="000000"/>
        </w:rPr>
        <w:instrText> HYPERLINK "mailto:o.loginova@acceptmed.ru"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o.loginova@acceptmed.ru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25" w:left="1232" w:right="1174" w:bottom="359" w:header="0" w:footer="3" w:gutter="0"/>
          <w:rtlGutter w:val="0"/>
          <w:cols w:num="2" w:space="931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"mailto:k.ivasheva@acceptmed.ru"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k.ivasheva@acceptmed.ru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8" w:after="5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3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tabs>
          <w:tab w:leader="none" w:pos="8046" w:val="right"/>
          <w:tab w:leader="none" w:pos="95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 февраля 2021 года</w:t>
        <w:tab/>
        <w:t>г.</w:t>
        <w:tab/>
        <w:t>Архангельск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2"/>
          <w:b/>
          <w:bCs/>
        </w:rPr>
        <w:t>Председатель комиссии:</w:t>
      </w:r>
    </w:p>
    <w:p>
      <w:pPr>
        <w:pStyle w:val="Style16"/>
        <w:tabs>
          <w:tab w:leader="none" w:pos="8718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 Заместитель руководителя Управления - начальник отдела</w:t>
        <w:tab/>
        <w:t>контроля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5" w:line="220" w:lineRule="exact"/>
        <w:ind w:left="22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2"/>
          <w:b/>
          <w:bCs/>
        </w:rPr>
        <w:t>Члены комиссии: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Н.В. Главный специалист-эксперт отдела контроля закупок;</w:t>
      </w:r>
    </w:p>
    <w:p>
      <w:pPr>
        <w:pStyle w:val="Style16"/>
        <w:tabs>
          <w:tab w:leader="none" w:pos="22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Чирова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JI.A.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Главный специалист-эксперт отдела контроля закупок;</w:t>
      </w:r>
    </w:p>
    <w:p>
      <w:pPr>
        <w:pStyle w:val="Style16"/>
        <w:tabs>
          <w:tab w:leader="none" w:pos="8462" w:val="center"/>
          <w:tab w:leader="none" w:pos="9091" w:val="center"/>
          <w:tab w:leader="none" w:pos="95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</w:t>
        <w:tab/>
        <w:t>закона</w:t>
        <w:tab/>
        <w:t>от</w:t>
        <w:tab/>
        <w:t>05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2"/>
          <w:b/>
          <w:bCs/>
        </w:rPr>
        <w:t>в присутствии представителей от: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rStyle w:val="CharStyle23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Низовцева Д.Б. (доверенность от 16.06.2020 № 56-Д);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4" w:line="274" w:lineRule="exact"/>
        <w:ind w:left="20" w:right="20" w:firstLine="700"/>
      </w:pPr>
      <w:r>
        <w:rPr>
          <w:rStyle w:val="CharStyle23"/>
        </w:rPr>
        <w:t xml:space="preserve">Заказчик, 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уведомлены надлежащим образом о времени и месте рассмотрения настоящего дела, своих представителей не направили.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99" w:line="269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февраля 2021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Внешнеэкономическая Дистрибьюторская фирма "АКЦЕПТ" (далее - Заявитель) на действия единой комиссии, созданной уполномоченным органом - Контрактным агентством Архангельской области (далее - Уполномоченный орган, единая комиссия), при проведении электронного аукциона на право заключения контракта на поставку медицинских изделий для оснащения фельдшерско-акушерского пункта (извещение № 0124200000620008351).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860"/>
      </w:pPr>
      <w:r>
        <w:rPr>
          <w:rStyle w:val="CharStyle22"/>
          <w:b/>
          <w:bCs/>
        </w:rPr>
        <w:t>Содержание жалобы: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единой комиссии в связи с отказом ООО Внешнеэкономическая Дистрибьюторская фирма "АКЦЕПТ" в допуске к участию в электронном аукционе по результатам рассмотрения первых частей заявок на участие в электронном аукционе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15.02.2021 № 342.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8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15.02.2021 № 314-05-136.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6"/>
        <w:tabs>
          <w:tab w:leader="none" w:pos="95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16"/>
        <w:tabs>
          <w:tab w:leader="none" w:pos="95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16"/>
        <w:tabs>
          <w:tab w:leader="none" w:pos="95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16"/>
        <w:tabs>
          <w:tab w:leader="none" w:pos="95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16"/>
        <w:tabs>
          <w:tab w:leader="none" w:pos="951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16"/>
        <w:numPr>
          <w:ilvl w:val="0"/>
          <w:numId w:val="1"/>
        </w:numPr>
        <w:tabs>
          <w:tab w:leader="none" w:pos="217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 0124200000620008351 о проведении электронного аукциона и документация об электронном аукционе на право заключения контракта на поставку медицинских изделий для оснащения фельдшерско-акушерского пункта (далее - документация об аукционе).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- 401 057,82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«Сбербанк-АСТ».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29.12.2020, 22.01.2021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внесены изменения в извещение и в документацию об аукционе (далее - Изменения).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рассмотрения заявок на участие в электронном аукционе от 04.02.2021 было подано 7 заявок, которым были присвоены порядковые номера -48, 127, 122, 47, 50, 4, 111.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изучения материалов дела установлено, что заявка Заявителя была зарегистрирована под номером 122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</w:t>
      </w:r>
    </w:p>
    <w:p>
      <w:pPr>
        <w:pStyle w:val="Style16"/>
        <w:numPr>
          <w:ilvl w:val="0"/>
          <w:numId w:val="3"/>
        </w:numPr>
        <w:tabs>
          <w:tab w:leader="none" w:pos="11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5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участнику с порядковым номером заявки 122 было отказано в допуске к участию в электронном аукционе на основании пункта 2 части 4 статьи 67 Закона 44-ФЗ: </w:t>
      </w:r>
      <w:r>
        <w:rPr>
          <w:rStyle w:val="CharStyle23"/>
        </w:rPr>
        <w:t xml:space="preserve">несоответствие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информации, предусмотренной подпунктом «б» пункта </w:t>
      </w:r>
      <w:r>
        <w:rPr>
          <w:rStyle w:val="CharStyle23"/>
        </w:rPr>
        <w:t xml:space="preserve">2 </w:t>
      </w:r>
      <w:r>
        <w:rPr>
          <w:rStyle w:val="CharStyle24"/>
        </w:rPr>
        <w:t xml:space="preserve">части </w:t>
      </w:r>
      <w:r>
        <w:rPr>
          <w:rStyle w:val="CharStyle25"/>
        </w:rPr>
        <w:t xml:space="preserve">3 </w:t>
      </w:r>
      <w:r>
        <w:rPr>
          <w:rStyle w:val="CharStyle24"/>
        </w:rPr>
        <w:t xml:space="preserve">статьи </w:t>
      </w:r>
      <w:r>
        <w:rPr>
          <w:rStyle w:val="CharStyle25"/>
        </w:rPr>
        <w:t>66</w:t>
      </w:r>
      <w:r>
        <w:rPr>
          <w:rStyle w:val="CharStyle23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Закона 44-ФЗ, требованиям документации о таком аукционе, а именно, не соответствие требованиям, установленным в разделе II «Сведения о товаре, на поставку которого осуществляется закупка, и об условиях контракта» документации об электронном аукционе</w:t>
      </w:r>
    </w:p>
    <w:tbl>
      <w:tblPr>
        <w:tblOverlap w:val="never"/>
        <w:tblLayout w:type="fixed"/>
        <w:jc w:val="center"/>
      </w:tblPr>
      <w:tblGrid>
        <w:gridCol w:w="562"/>
        <w:gridCol w:w="1642"/>
        <w:gridCol w:w="1637"/>
        <w:gridCol w:w="2645"/>
        <w:gridCol w:w="3058"/>
      </w:tblGrid>
      <w:tr>
        <w:trPr>
          <w:trHeight w:val="6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20" w:lineRule="exact"/>
              <w:ind w:left="120" w:right="0" w:firstLine="0"/>
            </w:pPr>
            <w:r>
              <w:rPr>
                <w:rStyle w:val="CharStyle26"/>
              </w:rPr>
              <w:t>№</w:t>
            </w:r>
          </w:p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20" w:lineRule="exact"/>
              <w:ind w:left="120" w:right="0" w:firstLine="0"/>
            </w:pPr>
            <w:r>
              <w:rPr>
                <w:rStyle w:val="CharStyle26"/>
              </w:rPr>
              <w:t>п/п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69" w:lineRule="exact"/>
              <w:ind w:left="0" w:right="0" w:firstLine="0"/>
            </w:pPr>
            <w:r>
              <w:rPr>
                <w:rStyle w:val="CharStyle27"/>
              </w:rPr>
              <w:t>характеристики товара, установленные заказчиком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3" w:lineRule="exact"/>
              <w:ind w:left="120" w:right="0" w:firstLine="0"/>
            </w:pPr>
            <w:r>
              <w:rPr>
                <w:rStyle w:val="CharStyle27"/>
              </w:rPr>
              <w:t>характеристики товара</w:t>
            </w:r>
            <w:r>
              <w:rPr>
                <w:rStyle w:val="CharStyle28"/>
              </w:rPr>
              <w:t xml:space="preserve">, </w:t>
            </w:r>
            <w:r>
              <w:rPr>
                <w:rStyle w:val="CharStyle27"/>
              </w:rPr>
              <w:t>предлагаемого для поставки участником закупки</w:t>
            </w:r>
          </w:p>
        </w:tc>
      </w:tr>
      <w:tr>
        <w:trPr>
          <w:trHeight w:val="2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4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20" w:right="0" w:firstLine="0"/>
            </w:pPr>
            <w:r>
              <w:rPr>
                <w:rStyle w:val="CharStyle29"/>
              </w:rPr>
              <w:t>...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4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29"/>
              </w:rPr>
              <w:t xml:space="preserve">. . </w:t>
            </w:r>
            <w:r>
              <w:rPr>
                <w:rStyle w:val="CharStyle30"/>
              </w:rPr>
              <w:t>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20" w:right="0" w:firstLine="0"/>
            </w:pPr>
            <w:r>
              <w:rPr>
                <w:rStyle w:val="CharStyle29"/>
              </w:rPr>
              <w:t>. . .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framePr w:w="954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6"/>
              </w:rPr>
              <w:t>Столик инструментальный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74" w:lineRule="exact"/>
              <w:ind w:left="0" w:right="0" w:firstLine="0"/>
            </w:pPr>
            <w:r>
              <w:rPr>
                <w:rStyle w:val="CharStyle26"/>
              </w:rPr>
              <w:t>Столик процедурный консольный "СП-01 Г" по ТУ 9452-026-04535146-2012 в исполнении: СП-01ГН2</w:t>
            </w:r>
          </w:p>
        </w:tc>
      </w:tr>
      <w:tr>
        <w:trPr>
          <w:trHeight w:val="288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54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542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20" w:right="0" w:firstLine="0"/>
            </w:pPr>
            <w:r>
              <w:rPr>
                <w:rStyle w:val="CharStyle29"/>
              </w:rPr>
              <w:t>. . 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20" w:right="0" w:firstLine="0"/>
            </w:pPr>
            <w:r>
              <w:rPr>
                <w:rStyle w:val="CharStyle29"/>
              </w:rPr>
              <w:t xml:space="preserve">• </w:t>
            </w:r>
            <w:r>
              <w:rPr>
                <w:rStyle w:val="CharStyle31"/>
              </w:rPr>
              <w:t xml:space="preserve">• </w:t>
            </w:r>
            <w:r>
              <w:rPr>
                <w:rStyle w:val="CharStyle31"/>
                <w:lang w:val="en-US" w:eastAsia="en-US" w:bidi="en-US"/>
              </w:rPr>
              <w:t>t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0" w:lineRule="exact"/>
              <w:ind w:left="120" w:right="0" w:firstLine="0"/>
            </w:pPr>
            <w:r>
              <w:rPr>
                <w:rStyle w:val="CharStyle29"/>
              </w:rPr>
              <w:t>• • •</w:t>
            </w:r>
          </w:p>
        </w:tc>
      </w:tr>
      <w:tr>
        <w:trPr>
          <w:trHeight w:val="850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542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120" w:right="0" w:firstLine="0"/>
            </w:pPr>
            <w:r>
              <w:rPr>
                <w:rStyle w:val="CharStyle26"/>
              </w:rPr>
              <w:t>Г абаритные размеры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9" w:lineRule="exact"/>
              <w:ind w:left="120" w:right="0" w:firstLine="0"/>
            </w:pPr>
            <w:r>
              <w:rPr>
                <w:rStyle w:val="CharStyle28"/>
              </w:rPr>
              <w:t>Не менее</w:t>
            </w:r>
          </w:p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9" w:lineRule="exact"/>
              <w:ind w:left="120" w:right="0" w:firstLine="0"/>
            </w:pPr>
            <w:r>
              <w:rPr>
                <w:rStyle w:val="CharStyle26"/>
                <w:lang w:val="en-US" w:eastAsia="en-US" w:bidi="en-US"/>
              </w:rPr>
              <w:t>655x430x770</w:t>
            </w:r>
          </w:p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9" w:lineRule="exact"/>
              <w:ind w:left="120" w:right="0" w:firstLine="0"/>
            </w:pPr>
            <w:r>
              <w:rPr>
                <w:rStyle w:val="CharStyle26"/>
              </w:rPr>
              <w:t>мм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6"/>
              </w:rPr>
              <w:t>Г абаритные размеры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20" w:right="0" w:firstLine="0"/>
            </w:pPr>
            <w:r>
              <w:rPr>
                <w:rStyle w:val="CharStyle26"/>
                <w:lang w:val="en-US" w:eastAsia="en-US" w:bidi="en-US"/>
              </w:rPr>
              <w:t xml:space="preserve">655x430x770-1100 </w:t>
            </w:r>
            <w:r>
              <w:rPr>
                <w:rStyle w:val="CharStyle26"/>
              </w:rPr>
              <w:t>мм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2"/>
        <w:widowControl w:val="0"/>
        <w:keepNext/>
        <w:keepLines/>
        <w:shd w:val="clear" w:color="auto" w:fill="auto"/>
        <w:bidi w:val="0"/>
        <w:spacing w:before="0" w:after="0"/>
        <w:ind w:left="20" w:right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».</w:t>
      </w:r>
      <w:bookmarkEnd w:id="1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66 ФЗ «О контрактной системе»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11 «Требования к содержанию и составу заявки на участие в электронном аукционе» раздела I «Общие положения» документации об аукционе установлены аналогичные требования.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 1 раздела II «Сведения о товаре, на поставку которого осуществляется закупка, и об условиях контракта» документации об аукционе содержит таблицу, в которой установлены требования к товарам, в том числе по позиции 9 «Столик инструментальный» установлено требование Габаритные размеры - Не менее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655x430x770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мм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подпункте 5пункта 8 части 12 «Инструкция по заполнению заявки на участие в электронном аукционе» раздела I «Общие положения» документации об аукционе установлено, что при описании товара в заявке на участие в электронном аукционе участнику электронного аукциона необходимо учитывать следующее: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«5) в случае, если значение показателя товара установлено как точное значение или сопровождается словами «не более», «более», «не менее», «менее», «не менее и не более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_», «не более и не менее », «не менее , не более », «не более , не менее »,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«ниже», «выше», «не ниже», «не выше», «не ниже и не выше », «не выше и не ниже</w:t>
      </w:r>
    </w:p>
    <w:p>
      <w:pPr>
        <w:pStyle w:val="Style16"/>
        <w:tabs>
          <w:tab w:leader="underscore" w:pos="4772" w:val="left"/>
          <w:tab w:leader="underscore" w:pos="6322" w:val="left"/>
          <w:tab w:leader="underscore" w:pos="7873" w:val="left"/>
          <w:tab w:leader="underscore" w:pos="95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», знаками «&gt;», «&lt;», «&gt;», «&lt;», «&gt; и &lt;</w:t>
        <w:tab/>
        <w:t>», «&gt; и &lt;</w:t>
        <w:tab/>
        <w:t>», «&gt; и &lt;</w:t>
        <w:tab/>
        <w:t>», «&gt; и &lt;</w:t>
        <w:tab/>
        <w:t>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0" w:line="27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электронного аукциона в заявке на участие в электронном аукционе устанавливается единственное точное значение без вышеперечисленных слов и знаков».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подтверждается материалами дела, Заявителем в первой части заявки (заявка № 122) предложены, в том числе следующие характеристики товара позиции 9 «Столик инструментальный»: габаритные размеры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655x430x770-1100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Иными словами Заявителем в первой части заявки (заявка № 122) конкретный показатель «габаритные размеры» позиции 9 «Столик инструментальный» указан в виде диапазона, а не единственное точное значение без вышеперечисленных слов «не менее», что не соответствует требованиям части 1 раздела II «Сведения о товаре, на поставку которого осуществляется закупка, и об условиях контракта» документации об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67 ФЗ «О контрактной системе» предусмотрено, что аукционная комиссия проверяет первые части заявок на участие в электронном аукционе, содержащие информацию, предусмотренную частью 3 статьи 66 указанного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4 статьи 67 ФЗ «О контрактной системе» участник закупки не допускается к участию в электронном аукционе, в случае: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непредоставления информации, предусмотренной частью 3 статьи 66 указанного Федерального закона, или предоставления недостоверной информации;</w:t>
      </w:r>
    </w:p>
    <w:p>
      <w:pPr>
        <w:pStyle w:val="Style16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частью 3 статьи 66 указанного Федерального закона,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6" w:line="274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единая комиссия правомерно отказала ООО Внешнеэкономическая Дистрибьюторская фирма "АКЦЕПТ" в допуске к участию в электронном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87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256" w:line="220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422" w:line="298" w:lineRule="exact"/>
        <w:ind w:left="88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Внешнеэкономическая Дистрибьюторская фирма "АКЦЕПТ" необоснованной.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37"/>
          <w:b/>
          <w:bCs/>
          <w:i/>
          <w:iCs/>
        </w:rPr>
        <w:t>Примечание.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20"/>
        <w:framePr w:h="226" w:hSpace="536" w:wrap="around" w:vAnchor="text" w:hAnchor="margin" w:x="7665" w:y="1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1"/>
          <w:b/>
          <w:bCs/>
          <w:spacing w:val="0"/>
        </w:rPr>
        <w:t>И.Ю. Короткова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  <w:sectPr>
          <w:type w:val="continuous"/>
          <w:pgSz w:w="11906" w:h="16838"/>
          <w:pgMar w:top="855" w:left="1117" w:right="1237" w:bottom="5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widowControl w:val="0"/>
        <w:spacing w:before="27" w:after="2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framePr w:h="215" w:wrap="around" w:hAnchor="margin" w:x="-7482" w:y="1321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1"/>
          <w:b/>
          <w:bCs/>
          <w:spacing w:val="0"/>
        </w:rPr>
        <w:t>Члены Комиссии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1128" w:left="8619" w:right="1054" w:bottom="81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Н.В. Вознесенская</w:t>
      </w: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Л.А. Чирова</w:t>
      </w:r>
    </w:p>
    <w:sectPr>
      <w:type w:val="continuous"/>
      <w:pgSz w:w="11906" w:h="16838"/>
      <w:pgMar w:top="1128" w:left="6944" w:right="1309" w:bottom="8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8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4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9">
    <w:name w:val="Основной текст (4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ahoma" w:eastAsia="Tahoma" w:hAnsi="Tahoma" w:cs="Tahoma"/>
    </w:rPr>
  </w:style>
  <w:style w:type="character" w:customStyle="1" w:styleId="CharStyle12">
    <w:name w:val="Заголовок №1 + 28 pt,Курсив"/>
    <w:basedOn w:val="CharStyle11"/>
    <w:rPr>
      <w:lang w:val="en-US" w:eastAsia="en-US" w:bidi="en-US"/>
      <w:i/>
      <w:iCs/>
      <w:sz w:val="56"/>
      <w:szCs w:val="56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Основной текст (5)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 + 10,5 pt,Полужирный"/>
    <w:basedOn w:val="CharStyle17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19">
    <w:name w:val="Основной текст + 8 pt,Полужирный"/>
    <w:basedOn w:val="CharStyle17"/>
    <w:rPr>
      <w:lang w:val="ru-RU" w:eastAsia="ru-RU" w:bidi="ru-RU"/>
      <w:b/>
      <w:bCs/>
      <w:sz w:val="16"/>
      <w:szCs w:val="16"/>
      <w:w w:val="100"/>
      <w:spacing w:val="0"/>
      <w:color w:val="000000"/>
      <w:position w:val="0"/>
    </w:rPr>
  </w:style>
  <w:style w:type="character" w:customStyle="1" w:styleId="CharStyle21">
    <w:name w:val="Основной текст (6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2">
    <w:name w:val="Основной текст (3)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4">
    <w:name w:val="Основной текст"/>
    <w:basedOn w:val="CharStyle1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17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+ Курсив"/>
    <w:basedOn w:val="CharStyle1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8">
    <w:name w:val="Основной текст + Полужирный"/>
    <w:basedOn w:val="CharStyle1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Основной текст + 4 pt,Полужирный,Интервал 2 pt"/>
    <w:basedOn w:val="CharStyle17"/>
    <w:rPr>
      <w:lang w:val="ru-RU" w:eastAsia="ru-RU" w:bidi="ru-RU"/>
      <w:b/>
      <w:bCs/>
      <w:sz w:val="8"/>
      <w:szCs w:val="8"/>
      <w:w w:val="100"/>
      <w:spacing w:val="40"/>
      <w:color w:val="000000"/>
      <w:position w:val="0"/>
    </w:rPr>
  </w:style>
  <w:style w:type="character" w:customStyle="1" w:styleId="CharStyle30">
    <w:name w:val="Основной текст + Tahoma,10 pt"/>
    <w:basedOn w:val="CharStyle17"/>
    <w:rPr>
      <w:lang w:val="ru-RU" w:eastAsia="ru-RU" w:bidi="ru-RU"/>
      <w:sz w:val="20"/>
      <w:szCs w:val="20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31">
    <w:name w:val="Основной текст + Courier New,4 pt"/>
    <w:basedOn w:val="CharStyle17"/>
    <w:rPr>
      <w:lang w:val="ru-RU" w:eastAsia="ru-RU" w:bidi="ru-RU"/>
      <w:sz w:val="8"/>
      <w:szCs w:val="8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3">
    <w:name w:val="Заголовок №2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4">
    <w:name w:val="Основной текст (6)_"/>
    <w:basedOn w:val="DefaultParagraphFont"/>
    <w:link w:val="Style2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6">
    <w:name w:val="Основной текст (7)_"/>
    <w:basedOn w:val="DefaultParagraphFont"/>
    <w:link w:val="Style35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7">
    <w:name w:val="Основной текст (7)"/>
    <w:basedOn w:val="CharStyle36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after="540" w:line="20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both"/>
      <w:outlineLvl w:val="0"/>
      <w:spacing w:before="54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ahoma" w:eastAsia="Tahoma" w:hAnsi="Tahoma" w:cs="Tahoma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after="180" w:line="25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line="245" w:lineRule="exact"/>
      <w:ind w:hanging="14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0">
    <w:name w:val="Основной текст (6)"/>
    <w:basedOn w:val="Normal"/>
    <w:link w:val="CharStyle34"/>
    <w:pPr>
      <w:widowControl w:val="0"/>
      <w:shd w:val="clear" w:color="auto" w:fill="FFFFFF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2">
    <w:name w:val="Заголовок №2"/>
    <w:basedOn w:val="Normal"/>
    <w:link w:val="CharStyle33"/>
    <w:pPr>
      <w:widowControl w:val="0"/>
      <w:shd w:val="clear" w:color="auto" w:fill="FFFFFF"/>
      <w:jc w:val="both"/>
      <w:outlineLvl w:val="1"/>
      <w:spacing w:line="269" w:lineRule="exact"/>
      <w:ind w:firstLine="7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5">
    <w:name w:val="Основной текст (7)"/>
    <w:basedOn w:val="Normal"/>
    <w:link w:val="CharStyle36"/>
    <w:pPr>
      <w:widowControl w:val="0"/>
      <w:shd w:val="clear" w:color="auto" w:fill="FFFFFF"/>
      <w:jc w:val="both"/>
      <w:spacing w:before="360" w:after="240" w:line="221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