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303" w:line="260" w:lineRule="exact"/>
        <w:ind w:left="5300" w:right="0" w:firstLine="0"/>
      </w:pPr>
      <w:r>
        <w:rPr>
          <w:lang w:val="ru-RU" w:eastAsia="ru-RU" w:bidi="ru-RU"/>
          <w:w w:val="100"/>
          <w:spacing w:val="0"/>
          <w:color w:val="000000"/>
          <w:position w:val="0"/>
        </w:rPr>
        <w:t xml:space="preserve">ГБПОУ ДЗМ «МК № </w:t>
      </w:r>
      <w:r>
        <w:rPr>
          <w:rStyle w:val="CharStyle5"/>
        </w:rPr>
        <w:t>7</w:t>
      </w:r>
      <w:r>
        <w:rPr>
          <w:rStyle w:val="CharStyle6"/>
        </w:rPr>
        <w:t>»</w:t>
      </w:r>
    </w:p>
    <w:p>
      <w:pPr>
        <w:pStyle w:val="Style3"/>
        <w:widowControl w:val="0"/>
        <w:keepNext w:val="0"/>
        <w:keepLines w:val="0"/>
        <w:shd w:val="clear" w:color="auto" w:fill="auto"/>
        <w:bidi w:val="0"/>
        <w:jc w:val="left"/>
        <w:spacing w:before="0" w:after="349" w:line="322" w:lineRule="exact"/>
        <w:ind w:left="5300" w:right="1240" w:firstLine="0"/>
      </w:pPr>
      <w:r>
        <w:rPr>
          <w:lang w:val="ru-RU" w:eastAsia="ru-RU" w:bidi="ru-RU"/>
          <w:w w:val="100"/>
          <w:spacing w:val="0"/>
          <w:color w:val="000000"/>
          <w:position w:val="0"/>
        </w:rPr>
        <w:t>ул. Николоямская, д. 33, стр. 1, г. Москва, 109004</w:t>
      </w:r>
    </w:p>
    <w:p>
      <w:pPr>
        <w:pStyle w:val="Style3"/>
        <w:widowControl w:val="0"/>
        <w:keepNext w:val="0"/>
        <w:keepLines w:val="0"/>
        <w:shd w:val="clear" w:color="auto" w:fill="auto"/>
        <w:bidi w:val="0"/>
        <w:spacing w:before="0" w:after="303" w:line="260" w:lineRule="exact"/>
        <w:ind w:left="5300" w:right="0" w:firstLine="0"/>
      </w:pPr>
      <w:r>
        <w:rPr>
          <w:lang w:val="ru-RU" w:eastAsia="ru-RU" w:bidi="ru-RU"/>
          <w:w w:val="100"/>
          <w:spacing w:val="0"/>
          <w:color w:val="000000"/>
          <w:position w:val="0"/>
        </w:rPr>
        <w:t>ООО «АВР Технологии»</w:t>
      </w:r>
    </w:p>
    <w:p>
      <w:pPr>
        <w:pStyle w:val="Style3"/>
        <w:widowControl w:val="0"/>
        <w:keepNext w:val="0"/>
        <w:keepLines w:val="0"/>
        <w:shd w:val="clear" w:color="auto" w:fill="auto"/>
        <w:bidi w:val="0"/>
        <w:spacing w:before="0" w:after="0" w:line="322" w:lineRule="exact"/>
        <w:ind w:left="5300" w:right="0" w:firstLine="0"/>
      </w:pPr>
      <w:r>
        <w:rPr>
          <w:lang w:val="ru-RU" w:eastAsia="ru-RU" w:bidi="ru-RU"/>
          <w:w w:val="100"/>
          <w:spacing w:val="0"/>
          <w:color w:val="000000"/>
          <w:position w:val="0"/>
        </w:rPr>
        <w:t>ул. Дорожная, д. 32, корп. 1, кв. 89,</w:t>
      </w:r>
    </w:p>
    <w:p>
      <w:pPr>
        <w:pStyle w:val="Style3"/>
        <w:tabs>
          <w:tab w:leader="none" w:pos="5610" w:val="left"/>
        </w:tabs>
        <w:widowControl w:val="0"/>
        <w:keepNext w:val="0"/>
        <w:keepLines w:val="0"/>
        <w:shd w:val="clear" w:color="auto" w:fill="auto"/>
        <w:bidi w:val="0"/>
        <w:spacing w:before="0" w:after="2108" w:line="322" w:lineRule="exact"/>
        <w:ind w:left="5300" w:right="0" w:firstLine="0"/>
      </w:pPr>
      <w:r>
        <w:rPr>
          <w:lang w:val="ru-RU" w:eastAsia="ru-RU" w:bidi="ru-RU"/>
          <w:w w:val="100"/>
          <w:spacing w:val="0"/>
          <w:color w:val="000000"/>
          <w:position w:val="0"/>
        </w:rPr>
        <w:t>г.</w:t>
        <w:tab/>
        <w:t>Москва, 117535</w:t>
      </w:r>
    </w:p>
    <w:p>
      <w:pPr>
        <w:pStyle w:val="Style7"/>
        <w:tabs>
          <w:tab w:leader="none" w:pos="12434" w:val="right"/>
        </w:tabs>
        <w:widowControl w:val="0"/>
        <w:keepNext w:val="0"/>
        <w:keepLines w:val="0"/>
        <w:shd w:val="clear" w:color="auto" w:fill="auto"/>
        <w:bidi w:val="0"/>
        <w:jc w:val="left"/>
        <w:spacing w:before="0" w:after="0"/>
        <w:ind w:left="2320" w:right="2340" w:firstLine="2040"/>
      </w:pPr>
      <w:r>
        <w:rPr>
          <w:lang w:val="ru-RU" w:eastAsia="ru-RU" w:bidi="ru-RU"/>
          <w:w w:val="100"/>
          <w:spacing w:val="0"/>
          <w:color w:val="000000"/>
          <w:position w:val="0"/>
        </w:rPr>
        <w:t>РЕШЕНИЕ по делу №077/06/106-2463/2021 о нарушении законодательства о контрактной системе</w:t>
      </w:r>
    </w:p>
    <w:p>
      <w:pPr>
        <w:pStyle w:val="Style7"/>
        <w:numPr>
          <w:ilvl w:val="0"/>
          <w:numId w:val="1"/>
        </w:numPr>
        <w:tabs>
          <w:tab w:leader="none" w:pos="10114" w:val="right"/>
          <w:tab w:leader="none" w:pos="9154"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Москва</w:t>
      </w:r>
    </w:p>
    <w:p>
      <w:pPr>
        <w:pStyle w:val="Style3"/>
        <w:widowControl w:val="0"/>
        <w:keepNext w:val="0"/>
        <w:keepLines w:val="0"/>
        <w:shd w:val="clear" w:color="auto" w:fill="auto"/>
        <w:bidi w:val="0"/>
        <w:spacing w:before="0" w:after="0" w:line="312" w:lineRule="exact"/>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spacing w:before="0" w:after="0" w:line="312" w:lineRule="exact"/>
        <w:ind w:left="2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3"/>
        <w:widowControl w:val="0"/>
        <w:keepNext w:val="0"/>
        <w:keepLines w:val="0"/>
        <w:shd w:val="clear" w:color="auto" w:fill="auto"/>
        <w:bidi w:val="0"/>
        <w:spacing w:before="0" w:after="0" w:line="312" w:lineRule="exact"/>
        <w:ind w:left="2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Специалиста первого разряда отдела обжалования государственных закупок А.З. Касимовой,</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Д.А. Аносова,</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 xml:space="preserve">рассмотрение жалобы проводилось дистанционно (посредством 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при участии представителей: ГБПОУ ДЗМ «МК № 7», ООО «АВР Технологии»,</w:t>
      </w:r>
    </w:p>
    <w:p>
      <w:pPr>
        <w:pStyle w:val="Style3"/>
        <w:widowControl w:val="0"/>
        <w:keepNext w:val="0"/>
        <w:keepLines w:val="0"/>
        <w:shd w:val="clear" w:color="auto" w:fill="auto"/>
        <w:bidi w:val="0"/>
        <w:spacing w:before="0" w:after="0" w:line="302" w:lineRule="exact"/>
        <w:ind w:left="20" w:right="20" w:firstLine="700"/>
      </w:pPr>
      <w:r>
        <w:rPr>
          <w:lang w:val="ru-RU" w:eastAsia="ru-RU" w:bidi="ru-RU"/>
          <w:w w:val="100"/>
          <w:spacing w:val="0"/>
          <w:color w:val="000000"/>
          <w:position w:val="0"/>
        </w:rPr>
        <w:t>рассмотрев жалобы ООО «АВР Технологии» (далее — Заявитель) на действия ГБПОУ ДЗМ «МК № 7» (далее — Заказчик) при проведении электронного аукциона на право заключения государственного контракта на монтаж АПС и СОУЭ для нужд ГБПОУ ДЗМ «МК № 7» по адресу г. Москва, г. Зеленоград, Каштановая аллея,</w:t>
      </w:r>
    </w:p>
    <w:p>
      <w:pPr>
        <w:pStyle w:val="Style3"/>
        <w:tabs>
          <w:tab w:leader="none" w:pos="388" w:val="left"/>
        </w:tabs>
        <w:widowControl w:val="0"/>
        <w:keepNext w:val="0"/>
        <w:keepLines w:val="0"/>
        <w:shd w:val="clear" w:color="auto" w:fill="auto"/>
        <w:bidi w:val="0"/>
        <w:spacing w:before="0" w:after="360" w:line="302" w:lineRule="exact"/>
        <w:ind w:left="20" w:right="20" w:firstLine="0"/>
      </w:pPr>
      <w:r>
        <w:rPr>
          <w:lang w:val="ru-RU" w:eastAsia="ru-RU" w:bidi="ru-RU"/>
          <w:w w:val="100"/>
          <w:spacing w:val="0"/>
          <w:color w:val="000000"/>
          <w:position w:val="0"/>
        </w:rPr>
        <w:t>д.</w:t>
        <w:tab/>
        <w:t>4 (Закупка № 0373200573820000034) (далее - электронный аукцион, аукцион) в соответствии с Федеральным законом от 05.04.2013 №44-ФЗ «О контрактной</w:t>
      </w:r>
    </w:p>
    <w:p>
      <w:pPr>
        <w:pStyle w:val="Style9"/>
        <w:widowControl w:val="0"/>
        <w:keepNext w:val="0"/>
        <w:keepLines w:val="0"/>
        <w:shd w:val="clear" w:color="auto" w:fill="auto"/>
        <w:bidi w:val="0"/>
        <w:jc w:val="left"/>
        <w:spacing w:before="0" w:after="0" w:line="240" w:lineRule="auto"/>
        <w:ind w:left="0" w:right="0" w:firstLine="0"/>
      </w:pPr>
      <w:r>
        <w:rPr>
          <w:w w:val="100"/>
          <w:spacing w:val="0"/>
          <w:color w:val="000000"/>
          <w:position w:val="0"/>
        </w:rPr>
        <w:t>001435032719</w:t>
      </w:r>
    </w:p>
    <w:p>
      <w:pPr>
        <w:pStyle w:val="Style3"/>
        <w:widowControl w:val="0"/>
        <w:keepNext w:val="0"/>
        <w:keepLines w:val="0"/>
        <w:shd w:val="clear" w:color="auto" w:fill="auto"/>
        <w:bidi w:val="0"/>
        <w:spacing w:before="0" w:after="292" w:line="302" w:lineRule="exact"/>
        <w:ind w:left="20" w:right="20" w:firstLine="0"/>
      </w:pPr>
      <w:r>
        <w:rPr>
          <w:lang w:val="ru-RU" w:eastAsia="ru-RU" w:bidi="ru-RU"/>
          <w:w w:val="100"/>
          <w:spacing w:val="0"/>
          <w:color w:val="000000"/>
          <w:position w:val="0"/>
        </w:rPr>
        <w:t>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1"/>
        <w:widowControl w:val="0"/>
        <w:keepNext/>
        <w:keepLines/>
        <w:shd w:val="clear" w:color="auto" w:fill="auto"/>
        <w:bidi w:val="0"/>
        <w:jc w:val="left"/>
        <w:spacing w:before="0" w:after="0"/>
        <w:ind w:left="440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spacing w:before="0" w:after="0" w:line="312" w:lineRule="exact"/>
        <w:ind w:left="20" w:right="20" w:firstLine="700"/>
      </w:pPr>
      <w:r>
        <w:rPr>
          <w:lang w:val="ru-RU" w:eastAsia="ru-RU" w:bidi="ru-RU"/>
          <w:w w:val="100"/>
          <w:spacing w:val="0"/>
          <w:color w:val="000000"/>
          <w:position w:val="0"/>
        </w:rPr>
        <w:t>В Московское УФАС России поступили жалобы Заявителя на действия Заказчика при проведении электронного аукциона.</w:t>
      </w:r>
    </w:p>
    <w:p>
      <w:pPr>
        <w:pStyle w:val="Style3"/>
        <w:widowControl w:val="0"/>
        <w:keepNext w:val="0"/>
        <w:keepLines w:val="0"/>
        <w:shd w:val="clear" w:color="auto" w:fill="auto"/>
        <w:bidi w:val="0"/>
        <w:spacing w:before="0" w:after="0" w:line="312" w:lineRule="exact"/>
        <w:ind w:left="20" w:right="20" w:firstLine="700"/>
      </w:pPr>
      <w:r>
        <w:rPr>
          <w:lang w:val="ru-RU" w:eastAsia="ru-RU" w:bidi="ru-RU"/>
          <w:w w:val="100"/>
          <w:spacing w:val="0"/>
          <w:color w:val="000000"/>
          <w:position w:val="0"/>
        </w:rPr>
        <w:t>Заказчиком представлены документы и сведения, запрашиваемые письмом Московского УФАС России от 11.02.2021 №ЕИ/7752/21.</w:t>
      </w:r>
    </w:p>
    <w:p>
      <w:pPr>
        <w:pStyle w:val="Style3"/>
        <w:widowControl w:val="0"/>
        <w:keepNext w:val="0"/>
        <w:keepLines w:val="0"/>
        <w:shd w:val="clear" w:color="auto" w:fill="auto"/>
        <w:bidi w:val="0"/>
        <w:spacing w:before="0" w:after="0" w:line="30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Комиссией Управления установлено следующее.</w:t>
      </w:r>
    </w:p>
    <w:p>
      <w:pPr>
        <w:pStyle w:val="Style3"/>
        <w:widowControl w:val="0"/>
        <w:keepNext w:val="0"/>
        <w:keepLines w:val="0"/>
        <w:shd w:val="clear" w:color="auto" w:fill="auto"/>
        <w:bidi w:val="0"/>
        <w:spacing w:before="0" w:after="0" w:line="302" w:lineRule="exact"/>
        <w:ind w:left="20" w:right="20" w:firstLine="700"/>
      </w:pPr>
      <w:r>
        <w:rPr>
          <w:lang w:val="ru-RU" w:eastAsia="ru-RU" w:bidi="ru-RU"/>
          <w:w w:val="100"/>
          <w:spacing w:val="0"/>
          <w:color w:val="000000"/>
          <w:position w:val="0"/>
        </w:rPr>
        <w:t>Согласно доводам жалоб Заявителя Заказчиком неправомерно размещен протокол признания участника уклонившимся от заключения контракта от 01.02.2021 №ППУ1 и признания ООО «АВР Технологии» уклонившимся от заключения контракта на основании предоставления обеспечения исполнения контракта в форме банковской гарантии, не соответствующей требованиям аукционной документации и положениям действующего законодательства.</w:t>
      </w:r>
    </w:p>
    <w:p>
      <w:pPr>
        <w:pStyle w:val="Style3"/>
        <w:tabs>
          <w:tab w:leader="none" w:pos="2309" w:val="left"/>
        </w:tabs>
        <w:widowControl w:val="0"/>
        <w:keepNext w:val="0"/>
        <w:keepLines w:val="0"/>
        <w:shd w:val="clear" w:color="auto" w:fill="auto"/>
        <w:bidi w:val="0"/>
        <w:spacing w:before="0" w:after="0" w:line="302" w:lineRule="exact"/>
        <w:ind w:left="20" w:right="0" w:firstLine="70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3"/>
        <w:numPr>
          <w:ilvl w:val="0"/>
          <w:numId w:val="3"/>
        </w:numPr>
        <w:tabs>
          <w:tab w:leader="none" w:pos="1611" w:val="left"/>
          <w:tab w:leader="none" w:pos="1614" w:val="left"/>
        </w:tabs>
        <w:widowControl w:val="0"/>
        <w:keepNext w:val="0"/>
        <w:keepLines w:val="0"/>
        <w:shd w:val="clear" w:color="auto" w:fill="auto"/>
        <w:bidi w:val="0"/>
        <w:spacing w:before="0" w:after="0" w:line="302" w:lineRule="exact"/>
        <w:ind w:left="20" w:right="0" w:firstLine="0"/>
      </w:pPr>
      <w:r>
        <w:rPr>
          <w:lang w:val="ru-RU" w:eastAsia="ru-RU" w:bidi="ru-RU"/>
          <w:w w:val="100"/>
          <w:spacing w:val="0"/>
          <w:color w:val="000000"/>
          <w:position w:val="0"/>
        </w:rPr>
        <w:t>№0373200573820000034-3 ООО «АВР Технологии» признано</w:t>
      </w:r>
    </w:p>
    <w:p>
      <w:pPr>
        <w:pStyle w:val="Style3"/>
        <w:widowControl w:val="0"/>
        <w:keepNext w:val="0"/>
        <w:keepLines w:val="0"/>
        <w:shd w:val="clear" w:color="auto" w:fill="auto"/>
        <w:bidi w:val="0"/>
        <w:spacing w:before="0" w:after="0" w:line="302" w:lineRule="exact"/>
        <w:ind w:left="20" w:right="0" w:firstLine="0"/>
      </w:pPr>
      <w:r>
        <w:rPr>
          <w:lang w:val="ru-RU" w:eastAsia="ru-RU" w:bidi="ru-RU"/>
          <w:w w:val="100"/>
          <w:spacing w:val="0"/>
          <w:color w:val="000000"/>
          <w:position w:val="0"/>
        </w:rPr>
        <w:t>победителем электронного аукциона.</w:t>
      </w:r>
    </w:p>
    <w:p>
      <w:pPr>
        <w:pStyle w:val="Style3"/>
        <w:widowControl w:val="0"/>
        <w:keepNext w:val="0"/>
        <w:keepLines w:val="0"/>
        <w:shd w:val="clear" w:color="auto" w:fill="auto"/>
        <w:bidi w:val="0"/>
        <w:spacing w:before="0" w:after="0" w:line="302" w:lineRule="exact"/>
        <w:ind w:left="20" w:right="20" w:firstLine="70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Закона о контрактной системе,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Закона о контрактной системе, указанных в заявке, окончательном предложении участника электронной процедуры.</w:t>
      </w:r>
    </w:p>
    <w:p>
      <w:pPr>
        <w:pStyle w:val="Style3"/>
        <w:widowControl w:val="0"/>
        <w:keepNext w:val="0"/>
        <w:keepLines w:val="0"/>
        <w:shd w:val="clear" w:color="auto" w:fill="auto"/>
        <w:bidi w:val="0"/>
        <w:spacing w:before="0" w:after="0" w:line="302" w:lineRule="exact"/>
        <w:ind w:left="20" w:right="20" w:firstLine="700"/>
      </w:pPr>
      <w:r>
        <w:rPr>
          <w:lang w:val="ru-RU" w:eastAsia="ru-RU" w:bidi="ru-RU"/>
          <w:w w:val="100"/>
          <w:spacing w:val="0"/>
          <w:color w:val="000000"/>
          <w:position w:val="0"/>
        </w:rPr>
        <w:t>В силу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ст.83.2 Закона о контрактной системе.</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На основании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 силу ч.3 ст.96 Закона о контрактной системе исполнение контракта может обеспечиваться, в частности, предоставлением банковской гарантии, выданной банком и соответствующей требованиям ст.45 Закона о контрактной системы, при этом срок действия банковской гарантии должен превышать срок действия контракта не менее чем на один месяц.</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Ч.2 ст.45 Закона о контрактной системе установлен перечень информации, которая должна содержать банковская гарантия.</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Комиссией Управления установлено, что победителем аукциона направлен подписанный проект контракта и обеспечение исполнения контракта в виде банковской гарантии от 22.01.2021 №50576 ЕЭТП-2021, выданной АО КБ «Модульбанк».</w:t>
      </w:r>
    </w:p>
    <w:p>
      <w:pPr>
        <w:pStyle w:val="Style3"/>
        <w:tabs>
          <w:tab w:leader="none" w:pos="2918" w:val="left"/>
        </w:tabs>
        <w:widowControl w:val="0"/>
        <w:keepNext w:val="0"/>
        <w:keepLines w:val="0"/>
        <w:shd w:val="clear" w:color="auto" w:fill="auto"/>
        <w:bidi w:val="0"/>
        <w:spacing w:before="0" w:after="0" w:line="307" w:lineRule="exact"/>
        <w:ind w:left="20" w:right="0" w:firstLine="700"/>
      </w:pPr>
      <w:r>
        <w:rPr>
          <w:lang w:val="ru-RU" w:eastAsia="ru-RU" w:bidi="ru-RU"/>
          <w:w w:val="100"/>
          <w:spacing w:val="0"/>
          <w:color w:val="000000"/>
          <w:position w:val="0"/>
        </w:rPr>
        <w:t>Согласно ч.8.2</w:t>
        <w:tab/>
        <w:t>ст.45 Закона о контрактной системе дополнительные</w:t>
      </w:r>
    </w:p>
    <w:p>
      <w:pPr>
        <w:pStyle w:val="Style3"/>
        <w:widowControl w:val="0"/>
        <w:keepNext w:val="0"/>
        <w:keepLines w:val="0"/>
        <w:shd w:val="clear" w:color="auto" w:fill="auto"/>
        <w:bidi w:val="0"/>
        <w:spacing w:before="0" w:after="0" w:line="307" w:lineRule="exact"/>
        <w:ind w:left="20" w:right="20" w:firstLine="0"/>
      </w:pPr>
      <w:r>
        <w:rPr>
          <w:lang w:val="ru-RU" w:eastAsia="ru-RU" w:bidi="ru-RU"/>
          <w:w w:val="100"/>
          <w:spacing w:val="0"/>
          <w:color w:val="000000"/>
          <w:position w:val="0"/>
        </w:rPr>
        <w:t>требования к банковской гарантии, используемой для целей Закона о контрактной системе,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в Банковской гарантии содержатся условия, которые противоречат положениям Закона о контрактной системе, поскольку условия представленной банковской гарантии предполагают получение гарантом требования платежа по гарантии до истечения срока действия такой гарантии.</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На заседании Комиссии Управления установлено, что в Банковской гарантии предусмотрено следующее: п.5 «Письменное требование платежа по настоящей</w:t>
      </w:r>
    </w:p>
    <w:p>
      <w:pPr>
        <w:pStyle w:val="Style3"/>
        <w:widowControl w:val="0"/>
        <w:keepNext w:val="0"/>
        <w:keepLines w:val="0"/>
        <w:shd w:val="clear" w:color="auto" w:fill="auto"/>
        <w:bidi w:val="0"/>
        <w:spacing w:before="0" w:after="0" w:line="307" w:lineRule="exact"/>
        <w:ind w:left="0" w:right="20" w:firstLine="0"/>
      </w:pPr>
      <w:r>
        <w:rPr>
          <w:lang w:val="ru-RU" w:eastAsia="ru-RU" w:bidi="ru-RU"/>
          <w:w w:val="100"/>
          <w:spacing w:val="0"/>
          <w:color w:val="000000"/>
          <w:position w:val="0"/>
        </w:rPr>
        <w:t>Гарантии должно быть направлено Бенефициаром и получено Гарантом в месте ее выдачи не позднее последнего срока действия Гарантии заказным письмом с уведомлением о вручении по следующим реквизитам: АО КБ «Модульбанк», адрес местонахождения: 156005, Костромская обл., г. Кострома, пл. Октябрьская, д. 1, или передано нарочно, под роспись уполномоченного лица».</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Вместе с тем, согласно п.2 ст. 374 Гражданского Кодекса Российской Федерации, требование бенефициара должно быть представлено гаранту до окончания срока действия независимой гарантии.</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Таким образом, исходя из положений п.2 ст.374 Гражданского Кодекса Российской Федерации, требование бенефициара должно быть предъявлено гаранту до окончания срока действия гарантии, что не может в ряде случаев считаться действием, совпадающим по времени совершения с моментом получения гарантом такого требования.</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Кроме того, в силу п.2 ст.194 Гражданского Кодекса Российской Федерации письменные заявления и извещения, сданные в организацию связи до двадцати четырех часов последнего дня срока, считаются сделанными в срок.</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Исходя из совокупности применения п.2 ст.194 и п.2 ст.374 Гражданского Кодекса Российской Федерации отправленные Бенефициаром требования по банковской гарантии посредством организации связи в срок действия гарантии должны быть приняты и рассмотрены Гарантом, даже если получены им за пределами срока действия гарантии.</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При этом установление в банковской гарантии положения, что требование платежа по гарантии должно быть получено Гарантом до истечения срока действия банковской гарантии, ведет к сокращению времени на подготовку Заказчиком такого требования и направления его банку-гаранту, поскольку в данном случае также необходимо учитывать сроки на получение такого требования банком.</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На Заседании Комиссии Управления представитель Заявителя пояснил, что данная гарантия была направлена Заказчику на согласование, вместе с тем, Заказчиком не представлена возможность замены несоответствующей банковской гарантии на новую, что, по мнению Заявителя, является нарушением порядка заключения государственного контракта, предусмотренного Законом о контрактной системе, и ограничением прав Заявителя. Вместе с тем, в обоснование своих доводов, представитель Заявителя пояснил, что Заказчик ненадлежащим образом уведомил Заявителя о признании его банковской гарантии несоответствующей и признании участника уклонившимся от заключения контракта.</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Вместе с тем Комиссия Управления отмечает, что Законом о контрактной системе не предусмотрена обязанность Заказчика в согласовании банковской гарантии, а также направлении проекта контракта на доработку после подписания Заявителем. При этом Комиссия Управления отмечает, что ч.3, ч.4 ст.83.2 Закона о контрактной системе однозначно указывают на тот факт, что подписание победителем аукциона проекта контракта является по своей сути акцептованием условий проекта контракта, направленного Заказчиком, при этом дальнейшие действия в части подписания контракта либо отказа от заключения контракта с победителем аукциона остаются в правовом поле Заказчика.</w:t>
      </w:r>
    </w:p>
    <w:p>
      <w:pPr>
        <w:pStyle w:val="Style3"/>
        <w:widowControl w:val="0"/>
        <w:keepNext w:val="0"/>
        <w:keepLines w:val="0"/>
        <w:shd w:val="clear" w:color="auto" w:fill="auto"/>
        <w:bidi w:val="0"/>
        <w:spacing w:before="0" w:after="0" w:line="307" w:lineRule="exact"/>
        <w:ind w:left="20" w:right="20" w:firstLine="720"/>
      </w:pPr>
      <w:r>
        <w:rPr>
          <w:lang w:val="ru-RU" w:eastAsia="ru-RU" w:bidi="ru-RU"/>
          <w:w w:val="100"/>
          <w:spacing w:val="0"/>
          <w:color w:val="000000"/>
          <w:position w:val="0"/>
        </w:rPr>
        <w:t>Одновременно с этим Комиссия Управления отмечает, что Законом о контрактной системе не предусмотрена обязанность Заказчика принимать какое-либо иное (новое) обеспечение после обнаружения несоответствий в первом. Данная позиция также отражена в решении Арбитражного суда города Москвы по делу № А40-308942/18-139-3047 от 25.03.2019.</w:t>
      </w:r>
    </w:p>
    <w:p>
      <w:pPr>
        <w:pStyle w:val="Style3"/>
        <w:widowControl w:val="0"/>
        <w:keepNext w:val="0"/>
        <w:keepLines w:val="0"/>
        <w:shd w:val="clear" w:color="auto" w:fill="auto"/>
        <w:bidi w:val="0"/>
        <w:spacing w:before="0" w:after="0" w:line="307" w:lineRule="exact"/>
        <w:ind w:left="20" w:right="20" w:firstLine="720"/>
      </w:pPr>
      <w:r>
        <w:rPr>
          <w:lang w:val="ru-RU" w:eastAsia="ru-RU" w:bidi="ru-RU"/>
          <w:w w:val="100"/>
          <w:spacing w:val="0"/>
          <w:color w:val="000000"/>
          <w:position w:val="0"/>
        </w:rPr>
        <w:t>Вместе с тем Комиссия Управления отмечает, что Заказчиком был размещен протокол признания участника уклонившимся от заключения контракта от 01.02.2021 №ППУ1, включающий в себя акт отказа от 01.02.2021, в единой информационной системе, что является надлежащим уведомлением ООО «АВР Технологии».</w:t>
      </w:r>
    </w:p>
    <w:p>
      <w:pPr>
        <w:pStyle w:val="Style3"/>
        <w:widowControl w:val="0"/>
        <w:keepNext w:val="0"/>
        <w:keepLines w:val="0"/>
        <w:shd w:val="clear" w:color="auto" w:fill="auto"/>
        <w:bidi w:val="0"/>
        <w:spacing w:before="0" w:after="0" w:line="307" w:lineRule="exact"/>
        <w:ind w:left="20" w:right="20" w:firstLine="720"/>
      </w:pPr>
      <w:r>
        <w:rPr>
          <w:lang w:val="ru-RU" w:eastAsia="ru-RU" w:bidi="ru-RU"/>
          <w:w w:val="100"/>
          <w:spacing w:val="0"/>
          <w:color w:val="000000"/>
          <w:position w:val="0"/>
        </w:rPr>
        <w:t>Согласно п.2 ч.6 ст.45 Закона о контрактной системе основанием для отказа в принятии банковской гарантии заказчиком является несоответствие банковской гарантии условиям, указанным в частях 2 и 3 ст.45 Закона о контрактной системе.</w:t>
      </w:r>
    </w:p>
    <w:p>
      <w:pPr>
        <w:pStyle w:val="Style3"/>
        <w:widowControl w:val="0"/>
        <w:keepNext w:val="0"/>
        <w:keepLines w:val="0"/>
        <w:shd w:val="clear" w:color="auto" w:fill="auto"/>
        <w:bidi w:val="0"/>
        <w:spacing w:before="0" w:after="0" w:line="307" w:lineRule="exact"/>
        <w:ind w:left="20" w:right="20" w:firstLine="720"/>
      </w:pPr>
      <w:r>
        <w:rPr>
          <w:lang w:val="ru-RU" w:eastAsia="ru-RU" w:bidi="ru-RU"/>
          <w:w w:val="100"/>
          <w:spacing w:val="0"/>
          <w:color w:val="000000"/>
          <w:position w:val="0"/>
        </w:rPr>
        <w:t>Таким образом, Комиссия Управления приходит к выводу, что у Заказчика имелись основания для признания банковской гарантии не соответствующей требованиям аукционной документации, и принятие Заказчиком решения об отказе от заключения контракта по основанию, указанному в протоколе, не противоречит положениям Закона о контрактной системе.</w:t>
      </w:r>
    </w:p>
    <w:p>
      <w:pPr>
        <w:pStyle w:val="Style3"/>
        <w:widowControl w:val="0"/>
        <w:keepNext w:val="0"/>
        <w:keepLines w:val="0"/>
        <w:shd w:val="clear" w:color="auto" w:fill="auto"/>
        <w:bidi w:val="0"/>
        <w:spacing w:before="0" w:after="338" w:line="307" w:lineRule="exact"/>
        <w:ind w:left="2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11"/>
        <w:widowControl w:val="0"/>
        <w:keepNext/>
        <w:keepLines/>
        <w:shd w:val="clear" w:color="auto" w:fill="auto"/>
        <w:bidi w:val="0"/>
        <w:jc w:val="left"/>
        <w:spacing w:before="0" w:after="0" w:line="260" w:lineRule="exact"/>
        <w:ind w:left="4600" w:right="0" w:firstLine="0"/>
      </w:pPr>
      <w:bookmarkStart w:id="1" w:name="bookmark1"/>
      <w:r>
        <w:rPr>
          <w:lang w:val="ru-RU" w:eastAsia="ru-RU" w:bidi="ru-RU"/>
          <w:w w:val="100"/>
          <w:spacing w:val="0"/>
          <w:color w:val="000000"/>
          <w:position w:val="0"/>
        </w:rPr>
        <w:t>Р Е Ш И Л А:</w:t>
      </w:r>
      <w:bookmarkEnd w:id="1"/>
    </w:p>
    <w:p>
      <w:pPr>
        <w:pStyle w:val="Style3"/>
        <w:numPr>
          <w:ilvl w:val="0"/>
          <w:numId w:val="5"/>
        </w:numPr>
        <w:widowControl w:val="0"/>
        <w:keepNext w:val="0"/>
        <w:keepLines w:val="0"/>
        <w:shd w:val="clear" w:color="auto" w:fill="auto"/>
        <w:bidi w:val="0"/>
        <w:spacing w:before="0" w:after="0" w:line="302" w:lineRule="exact"/>
        <w:ind w:left="20" w:right="20" w:firstLine="720"/>
      </w:pPr>
      <w:r>
        <w:rPr>
          <w:lang w:val="ru-RU" w:eastAsia="ru-RU" w:bidi="ru-RU"/>
          <w:w w:val="100"/>
          <w:spacing w:val="0"/>
          <w:color w:val="000000"/>
          <w:position w:val="0"/>
        </w:rPr>
        <w:t xml:space="preserve"> Признать жалобы ООО «АВР Технологии» на действия ГБПОУ ДЗМ «МК № 7» необоснованными.</w:t>
      </w:r>
    </w:p>
    <w:p>
      <w:pPr>
        <w:pStyle w:val="Style3"/>
        <w:numPr>
          <w:ilvl w:val="0"/>
          <w:numId w:val="5"/>
        </w:numPr>
        <w:widowControl w:val="0"/>
        <w:keepNext w:val="0"/>
        <w:keepLines w:val="0"/>
        <w:shd w:val="clear" w:color="auto" w:fill="auto"/>
        <w:bidi w:val="0"/>
        <w:spacing w:before="0" w:after="0" w:line="302" w:lineRule="exact"/>
        <w:ind w:left="20" w:right="20" w:firstLine="72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от</w:t>
      </w:r>
    </w:p>
    <w:p>
      <w:pPr>
        <w:pStyle w:val="Style3"/>
        <w:numPr>
          <w:ilvl w:val="0"/>
          <w:numId w:val="7"/>
        </w:numPr>
        <w:tabs>
          <w:tab w:leader="none" w:pos="1402" w:val="left"/>
        </w:tabs>
        <w:widowControl w:val="0"/>
        <w:keepNext w:val="0"/>
        <w:keepLines w:val="0"/>
        <w:shd w:val="clear" w:color="auto" w:fill="auto"/>
        <w:bidi w:val="0"/>
        <w:spacing w:before="0" w:after="300" w:line="302" w:lineRule="exact"/>
        <w:ind w:left="20" w:right="0" w:firstLine="0"/>
      </w:pPr>
      <w:r>
        <w:rPr>
          <w:lang w:val="ru-RU" w:eastAsia="ru-RU" w:bidi="ru-RU"/>
          <w:w w:val="100"/>
          <w:spacing w:val="0"/>
          <w:color w:val="000000"/>
          <w:position w:val="0"/>
        </w:rPr>
        <w:t>№ЕИ/7752/21.</w:t>
      </w:r>
    </w:p>
    <w:p>
      <w:pPr>
        <w:pStyle w:val="Style3"/>
        <w:widowControl w:val="0"/>
        <w:keepNext w:val="0"/>
        <w:keepLines w:val="0"/>
        <w:shd w:val="clear" w:color="auto" w:fill="auto"/>
        <w:bidi w:val="0"/>
        <w:spacing w:before="0" w:after="28" w:line="302" w:lineRule="exact"/>
        <w:ind w:left="2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8650" w:val="lef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Заместитель председателя Комиссии</w:t>
        <w:tab/>
        <w:t>С.И. Казарин</w:t>
      </w:r>
    </w:p>
    <w:p>
      <w:pPr>
        <w:pStyle w:val="Style3"/>
        <w:tabs>
          <w:tab w:leader="none" w:pos="8487" w:val="lef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Члены Комиссии</w:t>
        <w:tab/>
        <w:t>А.З. Касимова</w:t>
      </w:r>
    </w:p>
    <w:p>
      <w:pPr>
        <w:pStyle w:val="Style3"/>
        <w:widowControl w:val="0"/>
        <w:keepNext w:val="0"/>
        <w:keepLines w:val="0"/>
        <w:shd w:val="clear" w:color="auto" w:fill="auto"/>
        <w:bidi w:val="0"/>
        <w:jc w:val="right"/>
        <w:spacing w:before="0" w:after="0" w:line="643" w:lineRule="exact"/>
        <w:ind w:left="0" w:right="20" w:firstLine="0"/>
      </w:pPr>
      <w:r>
        <w:rPr>
          <w:lang w:val="ru-RU" w:eastAsia="ru-RU" w:bidi="ru-RU"/>
          <w:w w:val="100"/>
          <w:spacing w:val="0"/>
          <w:color w:val="000000"/>
          <w:position w:val="0"/>
        </w:rPr>
        <w:t>Д.А. Аносов</w:t>
      </w:r>
    </w:p>
    <w:p>
      <w:pPr>
        <w:pStyle w:val="Style13"/>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Касимова А.З. 8 (495) 784-75-05 доб. (077-186)</w:t>
      </w:r>
    </w:p>
    <w:sectPr>
      <w:footnotePr>
        <w:pos w:val="pageBottom"/>
        <w:numFmt w:val="decimal"/>
        <w:numRestart w:val="continuous"/>
      </w:footnotePr>
      <w:type w:val="continuous"/>
      <w:pgSz w:w="11906" w:h="16838"/>
      <w:pgMar w:top="1195" w:left="848" w:right="839" w:bottom="139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6.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4.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11.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 Курсив"/>
    <w:basedOn w:val="CharStyle4"/>
    <w:rPr>
      <w:lang w:val="ru-RU" w:eastAsia="ru-RU" w:bidi="ru-RU"/>
      <w:i/>
      <w:iCs/>
      <w:w w:val="100"/>
      <w:spacing w:val="0"/>
      <w:color w:val="000000"/>
      <w:position w:val="0"/>
    </w:rPr>
  </w:style>
  <w:style w:type="character" w:customStyle="1" w:styleId="CharStyle6">
    <w:name w:val="Основной текст + 12 pt,Полужирный,Курсив"/>
    <w:basedOn w:val="CharStyle4"/>
    <w:rPr>
      <w:lang w:val="ru-RU" w:eastAsia="ru-RU" w:bidi="ru-RU"/>
      <w:b/>
      <w:bCs/>
      <w:i/>
      <w:iCs/>
      <w:sz w:val="24"/>
      <w:szCs w:val="24"/>
      <w:w w:val="100"/>
      <w:spacing w:val="0"/>
      <w:color w:val="000000"/>
      <w:position w:val="0"/>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Штрих-код (2)_"/>
    <w:basedOn w:val="DefaultParagraphFont"/>
    <w:link w:val="Style9"/>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2100" w:line="312"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Штрих-код (2)"/>
    <w:basedOn w:val="Normal"/>
    <w:link w:val="CharStyle10"/>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300" w:line="31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