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52" w:left="3104" w:right="7664" w:bottom="894" w:header="0" w:footer="3" w:gutter="0"/>
          <w:rtlGutter w:val="0"/>
          <w:cols w:space="720"/>
          <w:noEndnote/>
          <w:docGrid w:linePitch="360"/>
        </w:sectPr>
      </w:pPr>
    </w:p>
    <w:p>
      <w:pPr>
        <w:widowControl w:val="0"/>
        <w:spacing w:line="206"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18"/>
        <w:ind w:left="0" w:right="0" w:firstLine="0"/>
      </w:pPr>
      <w:r>
        <w:rPr>
          <w:lang w:val="ru-RU" w:eastAsia="ru-RU" w:bidi="ru-RU"/>
          <w:sz w:val="24"/>
          <w:szCs w:val="24"/>
          <w:w w:val="100"/>
          <w:spacing w:val="0"/>
          <w:color w:val="000000"/>
          <w:position w:val="0"/>
        </w:rPr>
        <w:t>УПРАВЛЕНИЕ Федеральной антимонопольной службы по Свердловской области</w:t>
      </w:r>
    </w:p>
    <w:p>
      <w:pPr>
        <w:pStyle w:val="Style7"/>
        <w:widowControl w:val="0"/>
        <w:keepNext w:val="0"/>
        <w:keepLines w:val="0"/>
        <w:shd w:val="clear" w:color="auto" w:fill="auto"/>
        <w:bidi w:val="0"/>
        <w:spacing w:before="0" w:after="204"/>
        <w:ind w:left="0" w:right="0" w:firstLine="0"/>
      </w:pPr>
      <w:r>
        <w:rPr>
          <w:lang w:val="ru-RU" w:eastAsia="ru-RU" w:bidi="ru-RU"/>
          <w:w w:val="100"/>
          <w:spacing w:val="0"/>
          <w:color w:val="000000"/>
          <w:position w:val="0"/>
        </w:rPr>
        <w:t xml:space="preserve">ул. Московская, 11, г. Екатеринбург, 620014 тел. (343) 377-00-83, факс (343) 377-00-84 </w:t>
      </w:r>
      <w:r>
        <w:rPr>
          <w:lang w:val="en-US" w:eastAsia="en-US" w:bidi="en-US"/>
          <w:w w:val="100"/>
          <w:spacing w:val="0"/>
          <w:color w:val="000000"/>
          <w:position w:val="0"/>
        </w:rPr>
        <w:t>e-mail:</w:t>
      </w:r>
      <w:r>
        <w:fldChar w:fldCharType="begin"/>
      </w:r>
      <w:r>
        <w:rPr>
          <w:color w:val="000000"/>
        </w:rPr>
        <w:instrText> HYPERLINK "mailto:to66@fas.gov.ru" </w:instrText>
      </w:r>
      <w:r>
        <w:fldChar w:fldCharType="separate"/>
      </w:r>
      <w:r>
        <w:rPr>
          <w:rStyle w:val="Hyperlink"/>
          <w:lang w:val="en-US" w:eastAsia="en-US" w:bidi="en-US"/>
          <w:w w:val="100"/>
          <w:spacing w:val="0"/>
          <w:position w:val="0"/>
        </w:rPr>
        <w:t xml:space="preserve"> </w:t>
      </w:r>
      <w:r>
        <w:rPr>
          <w:rStyle w:val="Hyperlink"/>
        </w:rPr>
        <w:t>to66@fas.gov.ru</w:t>
      </w:r>
      <w:r>
        <w:fldChar w:fldCharType="end"/>
      </w:r>
    </w:p>
    <w:p>
      <w:pPr>
        <w:pStyle w:val="Style10"/>
        <w:tabs>
          <w:tab w:leader="underscore" w:pos="2357" w:val="right"/>
        </w:tabs>
        <w:widowControl w:val="0"/>
        <w:keepNext w:val="0"/>
        <w:keepLines w:val="0"/>
        <w:shd w:val="clear" w:color="auto" w:fill="auto"/>
        <w:bidi w:val="0"/>
        <w:spacing w:before="0" w:after="0" w:line="200" w:lineRule="exact"/>
        <w:ind w:left="600" w:right="0" w:firstLine="0"/>
      </w:pPr>
      <w:r>
        <w:rPr>
          <w:lang w:val="ru-RU" w:eastAsia="ru-RU" w:bidi="ru-RU"/>
          <w:w w:val="100"/>
          <w:spacing w:val="0"/>
          <w:color w:val="000000"/>
          <w:position w:val="0"/>
        </w:rPr>
        <w:t>от</w:t>
        <w:tab/>
        <w:t>№</w:t>
      </w:r>
    </w:p>
    <w:p>
      <w:pPr>
        <w:pStyle w:val="Style3"/>
        <w:widowControl w:val="0"/>
        <w:keepNext w:val="0"/>
        <w:keepLines w:val="0"/>
        <w:shd w:val="clear" w:color="auto" w:fill="auto"/>
        <w:bidi w:val="0"/>
        <w:jc w:val="left"/>
        <w:spacing w:before="0" w:after="8" w:line="220" w:lineRule="exact"/>
        <w:ind w:left="240" w:right="0" w:firstLine="0"/>
      </w:pPr>
      <w:r>
        <w:rPr>
          <w:lang w:val="ru-RU" w:eastAsia="ru-RU" w:bidi="ru-RU"/>
          <w:w w:val="100"/>
          <w:spacing w:val="0"/>
          <w:color w:val="000000"/>
          <w:position w:val="0"/>
        </w:rPr>
        <w:t>ООО «ТехСтройПартнер»</w:t>
      </w:r>
    </w:p>
    <w:p>
      <w:pPr>
        <w:pStyle w:val="Style12"/>
        <w:widowControl w:val="0"/>
        <w:keepNext w:val="0"/>
        <w:keepLines w:val="0"/>
        <w:shd w:val="clear" w:color="auto" w:fill="auto"/>
        <w:bidi w:val="0"/>
        <w:jc w:val="left"/>
        <w:spacing w:before="0" w:after="0" w:line="130" w:lineRule="exact"/>
        <w:ind w:left="0" w:right="0" w:firstLine="0"/>
        <w:sectPr>
          <w:type w:val="continuous"/>
          <w:pgSz w:w="11906" w:h="16838"/>
          <w:pgMar w:top="952" w:left="1299" w:right="1789" w:bottom="894" w:header="0" w:footer="3" w:gutter="0"/>
          <w:rtlGutter w:val="0"/>
          <w:cols w:num="2" w:space="720" w:equalWidth="0">
            <w:col w:w="4738" w:space="1162"/>
            <w:col w:w="2918"/>
          </w:cols>
          <w:noEndnote/>
          <w:docGrid w:linePitch="360"/>
        </w:sectPr>
      </w:pPr>
      <w:r>
        <w:rPr>
          <w:lang w:val="ru-RU" w:eastAsia="ru-RU" w:bidi="ru-RU"/>
          <w:w w:val="100"/>
          <w:spacing w:val="0"/>
          <w:color w:val="000000"/>
          <w:position w:val="0"/>
        </w:rPr>
        <w: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205" w:line="220" w:lineRule="exact"/>
        <w:ind w:left="20" w:right="0" w:firstLine="700"/>
      </w:pPr>
      <w:r>
        <w:rPr>
          <w:lang w:val="ru-RU" w:eastAsia="ru-RU" w:bidi="ru-RU"/>
          <w:w w:val="100"/>
          <w:spacing w:val="0"/>
          <w:color w:val="000000"/>
          <w:position w:val="0"/>
        </w:rPr>
        <w:t>О возврате жалобы</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Управление Федеральной антимонопольной службы по Свердловской области, рассмотрев поступившую от Вас жалобу (вх. № 01-4440 от 16.02.2021 года) на действия (бездействие) заказчика в лице ГУФСИН по Хмао-Югре, его комиссии при проведении электронного аукциона на выполнение проектно-изыскательских работ по объекту: «Строительство режимного корпуса на 100 мест ФКУ СИЗО-1 УФСИН России по Ханты- Мансийскому автономному округу-Югре, г. Нижневартовск, Ханты-Мансийский автономный округ - Югра» (в рамках государственного оборонного заказа) (извещение № 0387100004421000015), возвращает ее по следующим основаниям:</w:t>
      </w:r>
    </w:p>
    <w:p>
      <w:pPr>
        <w:pStyle w:val="Style3"/>
        <w:tabs>
          <w:tab w:leader="none" w:pos="5626" w:val="left"/>
          <w:tab w:leader="none" w:pos="7379"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 1 ст. 105 Федеральный закон от 05.04.2013 № 44-ФЗ "О контрактной системе в сфере закупок товаров, работ, услуг для обеспечения государственных и муниципальных нужд" любой участник закупки</w:t>
        <w:tab/>
        <w:t>в соответствии</w:t>
        <w:tab/>
        <w:t>с законодательством</w:t>
      </w:r>
    </w:p>
    <w:p>
      <w:pPr>
        <w:pStyle w:val="Style3"/>
        <w:tabs>
          <w:tab w:leader="none" w:pos="5626" w:val="left"/>
          <w:tab w:leader="none" w:pos="8464" w:val="left"/>
          <w:tab w:leader="none" w:pos="9633"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Российской Федерации имеет право обжаловать</w:t>
        <w:tab/>
        <w:t>в судебном порядке или</w:t>
        <w:tab/>
        <w:t>в</w:t>
        <w:tab/>
        <w:t>порядке,</w:t>
      </w:r>
    </w:p>
    <w:p>
      <w:pPr>
        <w:pStyle w:val="Style3"/>
        <w:tabs>
          <w:tab w:leader="none" w:pos="5626" w:val="left"/>
          <w:tab w:leader="none" w:pos="7353" w:val="left"/>
          <w:tab w:leader="none" w:pos="8431" w:val="left"/>
          <w:tab w:leader="none" w:pos="9633" w:val="righ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w:t>
        <w:tab/>
        <w:t>осуществлению</w:t>
        <w:tab/>
        <w:t>закупок,</w:t>
        <w:tab/>
        <w:t>ее</w:t>
        <w:tab/>
        <w:t>членов,</w:t>
      </w:r>
    </w:p>
    <w:p>
      <w:pPr>
        <w:pStyle w:val="Style3"/>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tabs>
          <w:tab w:leader="none" w:pos="5626" w:val="left"/>
          <w:tab w:leader="none" w:pos="7353" w:val="left"/>
          <w:tab w:leader="none" w:pos="8431" w:val="left"/>
          <w:tab w:leader="none" w:pos="9633" w:val="righ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 2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w:t>
        <w:tab/>
        <w:t>осуществлению</w:t>
        <w:tab/>
        <w:t>закупок,</w:t>
        <w:tab/>
        <w:t>ее</w:t>
        <w:tab/>
        <w:t>членов,</w:t>
      </w:r>
    </w:p>
    <w:p>
      <w:pPr>
        <w:pStyle w:val="Style3"/>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должностного лица контрактной службы, контрактного управляющего, оператора электронной площадки (далее также - жалоба) должна содержать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3"/>
        <w:tabs>
          <w:tab w:leader="none" w:pos="5569" w:val="right"/>
          <w:tab w:leader="none" w:pos="5799"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Жалоба, поданная ООО «ТехСтройПартнер», содержит указание на место нахождения юридического лица, подавшего жалобу:</w:t>
        <w:tab/>
        <w:t>656016,</w:t>
        <w:tab/>
        <w:t>Алтайский край, г. Барнаул, ул.</w:t>
      </w:r>
    </w:p>
    <w:p>
      <w:pPr>
        <w:pStyle w:val="Style3"/>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Власихинская, д. 49/, оф. 141.</w:t>
      </w:r>
      <w:r>
        <w:br w:type="page"/>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Вместе с тем, согласно информации, поступившей от Межрайонной ИФНС № 15 по Алтайскому краю ООО «ТехСтройПартнер» по адресу: 656016, Алтайский край, г. Барнаул, ул. Власихинская, д. 49/, оф. 141. не находится, деятельность организацией по данному адресу не ведется.</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в жалобе, поданной ООО «ТехСтройПартнер», отсутствует достоверная информация о месте нахождения юридического лица, подавшего жалобу.</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п. 1 ч. 11 ст.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Вместе с тем, поступившая от ООО «ТехСтройПартнер» жалоба не содержит информации о месте нахождения юридического лица, подавшего жалобу.</w:t>
      </w:r>
    </w:p>
    <w:p>
      <w:pPr>
        <w:pStyle w:val="Style3"/>
        <w:widowControl w:val="0"/>
        <w:keepNext w:val="0"/>
        <w:keepLines w:val="0"/>
        <w:shd w:val="clear" w:color="auto" w:fill="auto"/>
        <w:bidi w:val="0"/>
        <w:jc w:val="both"/>
        <w:spacing w:before="0" w:after="283" w:line="274" w:lineRule="exact"/>
        <w:ind w:left="20" w:right="20" w:firstLine="700"/>
      </w:pPr>
      <w:r>
        <w:rPr>
          <w:lang w:val="ru-RU" w:eastAsia="ru-RU" w:bidi="ru-RU"/>
          <w:w w:val="100"/>
          <w:spacing w:val="0"/>
          <w:color w:val="000000"/>
          <w:position w:val="0"/>
        </w:rPr>
        <w:t>В связи с вышеизложенным, в соответствии с пунктом 1 части 11 статьи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pPr>
        <w:pStyle w:val="Style3"/>
        <w:widowControl w:val="0"/>
        <w:keepNext w:val="0"/>
        <w:keepLines w:val="0"/>
        <w:shd w:val="clear" w:color="auto" w:fill="auto"/>
        <w:bidi w:val="0"/>
        <w:jc w:val="left"/>
        <w:spacing w:before="0" w:after="548" w:line="220" w:lineRule="exact"/>
        <w:ind w:left="20" w:right="0" w:firstLine="0"/>
      </w:pPr>
      <w:r>
        <w:rPr>
          <w:lang w:val="ru-RU" w:eastAsia="ru-RU" w:bidi="ru-RU"/>
          <w:w w:val="100"/>
          <w:spacing w:val="0"/>
          <w:color w:val="000000"/>
          <w:position w:val="0"/>
        </w:rPr>
        <w:t>Приложение: жалоба ООО «ТехСтройПартнер» в 1 экз.</w:t>
      </w:r>
    </w:p>
    <w:p>
      <w:pPr>
        <w:pStyle w:val="Style14"/>
        <w:widowControl w:val="0"/>
        <w:keepNext w:val="0"/>
        <w:keepLines w:val="0"/>
        <w:shd w:val="clear" w:color="auto" w:fill="auto"/>
        <w:bidi w:val="0"/>
        <w:jc w:val="left"/>
        <w:spacing w:before="0" w:after="9626" w:line="130" w:lineRule="exact"/>
        <w:ind w:left="20" w:right="0" w:firstLine="0"/>
      </w:pPr>
      <w:r>
        <w:rPr>
          <w:lang w:val="ru-RU" w:eastAsia="ru-RU" w:bidi="ru-RU"/>
          <w:w w:val="100"/>
          <w:spacing w:val="0"/>
          <w:color w:val="000000"/>
          <w:position w:val="0"/>
        </w:rPr>
        <w:t>*</w:t>
      </w:r>
    </w:p>
    <w:p>
      <w:pPr>
        <w:pStyle w:val="Style16"/>
        <w:widowControl w:val="0"/>
        <w:keepNext w:val="0"/>
        <w:keepLines w:val="0"/>
        <w:shd w:val="clear" w:color="auto" w:fill="auto"/>
        <w:bidi w:val="0"/>
        <w:jc w:val="left"/>
        <w:spacing w:before="0" w:after="0" w:line="100" w:lineRule="exact"/>
        <w:ind w:left="20" w:right="0" w:firstLine="0"/>
      </w:pPr>
      <w:r>
        <w:rPr>
          <w:lang w:val="ru-RU" w:eastAsia="ru-RU" w:bidi="ru-RU"/>
          <w:w w:val="100"/>
          <w:spacing w:val="0"/>
          <w:color w:val="000000"/>
          <w:position w:val="0"/>
        </w:rPr>
        <w:t>*</w:t>
      </w:r>
    </w:p>
    <w:sectPr>
      <w:type w:val="continuous"/>
      <w:pgSz w:w="11906" w:h="16838"/>
      <w:pgMar w:top="983" w:left="1036" w:right="1036" w:bottom="983" w:header="0" w:footer="3" w:gutter="18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 11 pt"/>
    <w:basedOn w:val="CharStyle8"/>
    <w:rPr>
      <w:lang w:val="en-US" w:eastAsia="en-US" w:bidi="en-US"/>
      <w:u w:val="single"/>
      <w:sz w:val="22"/>
      <w:szCs w:val="22"/>
      <w:w w:val="100"/>
      <w:spacing w:val="0"/>
      <w:color w:val="000000"/>
      <w:position w:val="0"/>
    </w:rPr>
  </w:style>
  <w:style w:type="character" w:customStyle="1" w:styleId="CharStyle11">
    <w:name w:val="Основной текст (4)_"/>
    <w:basedOn w:val="DefaultParagraphFont"/>
    <w:link w:val="Style10"/>
    <w:rPr>
      <w:b/>
      <w:bCs/>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5)_"/>
    <w:basedOn w:val="DefaultParagraphFont"/>
    <w:link w:val="Style12"/>
    <w:rPr>
      <w:b w:val="0"/>
      <w:bCs w:val="0"/>
      <w:i w:val="0"/>
      <w:iCs w:val="0"/>
      <w:u w:val="none"/>
      <w:strike w:val="0"/>
      <w:smallCaps w:val="0"/>
      <w:sz w:val="13"/>
      <w:szCs w:val="13"/>
      <w:rFonts w:ascii="Times New Roman" w:eastAsia="Times New Roman" w:hAnsi="Times New Roman" w:cs="Times New Roman"/>
    </w:rPr>
  </w:style>
  <w:style w:type="character" w:customStyle="1" w:styleId="CharStyle15">
    <w:name w:val="Основной текст (6)_"/>
    <w:basedOn w:val="DefaultParagraphFont"/>
    <w:link w:val="Style14"/>
    <w:rPr>
      <w:b w:val="0"/>
      <w:bCs w:val="0"/>
      <w:i w:val="0"/>
      <w:iCs w:val="0"/>
      <w:u w:val="none"/>
      <w:strike w:val="0"/>
      <w:smallCaps w:val="0"/>
      <w:sz w:val="13"/>
      <w:szCs w:val="13"/>
      <w:rFonts w:ascii="Times New Roman" w:eastAsia="Times New Roman" w:hAnsi="Times New Roman" w:cs="Times New Roman"/>
    </w:rPr>
  </w:style>
  <w:style w:type="character" w:customStyle="1" w:styleId="CharStyle17">
    <w:name w:val="Основной текст (7)_"/>
    <w:basedOn w:val="DefaultParagraphFont"/>
    <w:link w:val="Style16"/>
    <w:rPr>
      <w:b w:val="0"/>
      <w:bCs w:val="0"/>
      <w:i w:val="0"/>
      <w:iCs w:val="0"/>
      <w:u w:val="none"/>
      <w:strike w:val="0"/>
      <w:smallCaps w:val="0"/>
      <w:sz w:val="10"/>
      <w:szCs w:val="1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center"/>
      <w:spacing w:after="60" w:line="25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60" w:after="60" w:line="302"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18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18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before="60" w:line="0"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spacing w:before="600" w:after="9660" w:line="0"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16">
    <w:name w:val="Основной текст (7)"/>
    <w:basedOn w:val="Normal"/>
    <w:link w:val="CharStyle17"/>
    <w:pPr>
      <w:widowControl w:val="0"/>
      <w:shd w:val="clear" w:color="auto" w:fill="FFFFFF"/>
      <w:spacing w:before="9660" w:line="0" w:lineRule="exact"/>
    </w:pPr>
    <w:rPr>
      <w:b w:val="0"/>
      <w:bCs w:val="0"/>
      <w:i w:val="0"/>
      <w:iCs w:val="0"/>
      <w:u w:val="none"/>
      <w:strike w:val="0"/>
      <w:smallCaps w:val="0"/>
      <w:sz w:val="10"/>
      <w:szCs w:val="1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