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88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153" w:left="1196" w:right="7161" w:bottom="118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widowControl w:val="0"/>
        <w:spacing w:before="4" w:after="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framePr w:h="150" w:wrap="around" w:vAnchor="text" w:hAnchor="margin" w:x="1864" w:y="2213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</w:p>
    <w:p>
      <w:pPr>
        <w:widowControl w:val="0"/>
        <w:rPr>
          <w:sz w:val="2"/>
          <w:szCs w:val="2"/>
        </w:r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98" w:line="256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Волгоградской области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7-я Гвардейская, д. 12, Волгоград, 400005 тел. (8442) 24-22-65, факс (8442) 24-22-76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"mailto:to34@fas.gov.ru"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to34@fas.gov.ru</w:t>
      </w:r>
      <w:r>
        <w:fldChar w:fldCharType="end"/>
      </w:r>
    </w:p>
    <w:p>
      <w:pPr>
        <w:pStyle w:val="Style9"/>
        <w:tabs>
          <w:tab w:leader="none" w:pos="2128" w:val="right"/>
        </w:tabs>
        <w:widowControl w:val="0"/>
        <w:keepNext/>
        <w:keepLines/>
        <w:shd w:val="clear" w:color="auto" w:fill="auto"/>
        <w:bidi w:val="0"/>
        <w:spacing w:before="0" w:after="119" w:line="420" w:lineRule="exact"/>
        <w:ind w:left="40" w:right="0" w:firstLine="0"/>
      </w:pPr>
      <w:bookmarkStart w:id="0" w:name="bookmark0"/>
      <w:r>
        <w:rPr>
          <w:rStyle w:val="CharStyle11"/>
          <w:i/>
          <w:iCs/>
        </w:rPr>
        <w:t>//Ж</w:t>
      </w:r>
      <w:r>
        <w:rPr>
          <w:rStyle w:val="CharStyle12"/>
          <w:lang w:val="ru-RU" w:eastAsia="ru-RU" w:bidi="ru-RU"/>
          <w:i w:val="0"/>
          <w:iCs w:val="0"/>
        </w:rPr>
        <w:tab/>
      </w:r>
      <w:r>
        <w:rPr>
          <w:rStyle w:val="CharStyle13"/>
          <w:vertAlign w:val="subscript"/>
          <w:i w:val="0"/>
          <w:iCs w:val="0"/>
        </w:rPr>
        <w:t>№</w:t>
      </w:r>
      <w:bookmarkEnd w:id="0"/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№ </w:t>
      </w:r>
      <w:r>
        <w:rPr>
          <w:rStyle w:val="CharStyle16"/>
        </w:rPr>
        <w:t>заявитель: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246" w:line="277" w:lineRule="exact"/>
        <w:ind w:left="0" w:right="8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ООО «Техстройпартнер» ул. Власихинская, д. 49/1, оф. 141, Барнаул, 656016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bolshunovl </w:t>
      </w:r>
      <w:r>
        <w:fldChar w:fldCharType="begin"/>
      </w:r>
      <w:r>
        <w:rPr>
          <w:color w:val="000000"/>
        </w:rPr>
        <w:instrText> HYPERLINK "mailto:990@bk.ru"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990@bk.ru</w:t>
      </w:r>
      <w:r>
        <w:fldChar w:fldCharType="end"/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7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7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Комитет по строительству и жилищно- коммунальному хозяйству администрации Среднеахтубинского муниципального района Волгоградской области ул. Ленина, д. 65,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70" w:lineRule="exact"/>
        <w:ind w:left="0" w:right="0" w:firstLine="0"/>
        <w:sectPr>
          <w:type w:val="continuous"/>
          <w:pgSz w:w="11906" w:h="16838"/>
          <w:pgMar w:top="1138" w:left="1027" w:right="2219" w:bottom="1167" w:header="0" w:footer="3" w:gutter="0"/>
          <w:rtlGutter w:val="0"/>
          <w:cols w:num="2" w:space="102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р.п. Средняя Ахтуба, Волгоградской области, 404143 </w:t>
      </w:r>
      <w:r>
        <w:fldChar w:fldCharType="begin"/>
      </w:r>
      <w:r>
        <w:rPr>
          <w:color w:val="000000"/>
        </w:rPr>
        <w:instrText> HYPERLINK "mailto:gko-sahtyba@yandex.ru"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gko-sahtyba@yandex.ru</w:t>
      </w:r>
      <w:r>
        <w:fldChar w:fldCharType="end"/>
      </w:r>
    </w:p>
    <w:p>
      <w:pPr>
        <w:widowControl w:val="0"/>
        <w:spacing w:before="17" w:after="1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4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Уполномоченный орган: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4380" w:right="18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ГКУ Волгоградской области «Цент организации закупок» ул. Новороссийская, д. 15,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240" w:line="274" w:lineRule="exact"/>
        <w:ind w:left="4380" w:right="18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Волгоград, 400066 </w:t>
      </w:r>
      <w:r>
        <w:fldChar w:fldCharType="begin"/>
      </w:r>
      <w:r>
        <w:rPr>
          <w:color w:val="000000"/>
        </w:rPr>
        <w:instrText> HYPERLINK "mailto:coz@volganet.ru"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coz@volganet.ru</w:t>
      </w:r>
      <w:r>
        <w:fldChar w:fldCharType="end"/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4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1243" w:line="274" w:lineRule="exact"/>
        <w:ind w:left="4380" w:right="17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Акционерное общество «Электронные торговые системы» ул. Тестовская, д. 10, Москва, 123112 </w:t>
      </w:r>
      <w:r>
        <w:fldChar w:fldCharType="begin"/>
      </w:r>
      <w:r>
        <w:rPr>
          <w:color w:val="000000"/>
        </w:rPr>
        <w:instrText> HYPERLINK "mailto:auditors@etpz.ru"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auditors@etpz.ru</w:t>
      </w:r>
      <w:r>
        <w:fldChar w:fldCharType="end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284" w:line="295" w:lineRule="exact"/>
        <w:ind w:left="1920" w:right="2080" w:firstLine="22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делу № 034/06/105-107/2021 о нарушении законодательства о контрактной системе</w:t>
      </w:r>
    </w:p>
    <w:p>
      <w:pPr>
        <w:pStyle w:val="Style14"/>
        <w:tabs>
          <w:tab w:leader="none" w:pos="966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71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15 февраля 2021 года</w:t>
        <w:tab/>
        <w:t>Волгоград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8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Волгоградской области (далее — Управление) по контролю за соблюдением законодательства о контрактной системе в составе:</w:t>
      </w:r>
      <w:r>
        <w:br w:type="page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Литвинова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P.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А. - председателя Комиссии,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Моисеева С.В. - члена Комиссии, заместителя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Гейбатовой А.Д. - члена Комиссии, старшего государственного инспектора отдела контроля государственных и муниципальных закупок, недобросовестной конкуренции и рекламы,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7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участием: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Ленковой М.Н. - представителя ГКУ Волгоградской области «Центр организации закупок» на основании доверенности от 11.01.2020 № 2;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Пономаревой И.И. - представителя комитета по строительству и жилищно- коммунальному хозяйству администрации Среднеахтубинского муниципального района волгоградской области на основании доверенности от 12.02.2021 № 2,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587" w:line="299" w:lineRule="exact"/>
        <w:ind w:left="40" w:right="40" w:firstLine="7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ООО «Техстройпартнер» вх. № 1180 от 09.02.2021 на положения документации при проведении закупки «Строительство межпоселкового хозпитьевого водоснабжения для с. Верхнепогромное. Водовод в 2 линии» (номер извещения 0329200062221000073),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257" w:line="240" w:lineRule="exact"/>
        <w:ind w:left="44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Управление 09.02.2021 вх. № 1180 поступила жалоба ООО «Техстройпартнер» (далее - Заявитель) на положения документации при проведении закупки «Строительство межпоселкового хозпитьевого водоснабжения для с. Верхнепогромное. Водовод в 2 линии» (номер извещения 0329200062221000073).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Изучив доводы сторон, ознакомившись с представленными документами, и проведя внеплановую проверку в соответствии с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Комиссия Управления пришла к следующим выводам.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официальном сайте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(далее - ЕИС) 01.02.2021 были опубликованы извещение и документация о проведении закупки «Строительство межпоселкового хозпитьевого водоснабжения для с. Верхнепогромное. Водовод в 2 линии» (номер извещения 0329200062221000073). Заказчик - комитет по строительству и жилищно - коммунальному хозяйству администрации Среднеахтубинского муниципального района Волгоградской области (далее - Заказчик). Начальная (максимальная) цена контракта 31 204 372,50 российских рублей (далее - НМЦК). На этапе рассмотрения первых частей заявок, приняло участие 7 участников. До участия в электронном аукционе было допущено 6 участников. По итогам проведения аукциона снижение НМЦК составило 25 %.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первому доводу жалобы в проекте контракта отсутствует условие о том, что результатом выполненной работы по контракту является реконструированный объект капитального строительства, в отношении которого получено заключение органа государственного строительного надзора.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7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части данного довода комиссия установила следующее.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right"/>
        <w:spacing w:before="0" w:after="0" w:line="299" w:lineRule="exact"/>
        <w:ind w:left="40" w:right="1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4 статьи 110.2 Закона о контрактной системе результатом выполненной работы по контракту, предметом которого является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строительство, реконструкция объекта капитального строительства, является построенный и (или) реконструированный объект капитального строительства, в отношении которого получено заключение органа государственного строительного надзора о соответствии построенного и (или) реконструированного объекта капитального строительства требованиям технических регламентов и проектной документации,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абзаце 3 Раздела «Общие положения» проекта контракта установлено, что результатом выполненной работы по контракту, предметом которого являются строительство, реконструкция объекта капитального строительства, является построенный и (или) реконструированный объект капитального строительства, в отношении которого получено заключение органа государственного строительного надзора о соответствии построенного и (или) реконструированного объекта капитального строительства требованиям технических регламентов и проектной документации,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ресурсов, и заключение федерального государственного экологического надзора в случаях, предусмотренных частью 7 статьи 54 Градостроительного кодекса Российской Федерации.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настоящем случае проект контракта содержит условие о заключении органа государственного строительного надзора о соответствии построенного объекта капитального строительства требованиям проектной документации, в связи с чем довод не находит своего подтверждения и является необоснованным.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второму доводу жалобы указанный в документации об аукционе график выполнения работ не учитывает требования приказа Минстроя России от 05.06.2018 № 336/пр «Об утверждении Методики составления графика выполнения строительно-монтажных работ и графика оплаты выполненных по контракту (договору), предметом которого являются строительство, реконструкция объектов капитального строительства, работ».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части данного довода комиссия установила следующее.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Методике составления графика выполнения строительно-монтажных работ и графика оплаты выполненных по контракту (договору), предметом которого являются строительство, реконструкция объектов капитального строительства, работ, утвержденной приказом Минстроя России от 05.06.2018 № 336/пр (далее — Приказ № 336/пр, Методика) установлено, что дополнительно под табличной частью графика выполнения работ до полей для подписания его сторонами контракта в графике выполнения работ должны быть отражены даты, не позднее которых должны состояться следующие события:</w:t>
      </w:r>
    </w:p>
    <w:p>
      <w:pPr>
        <w:pStyle w:val="Style14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подписание сторонами акта о соответствии состояния земельного участка (объекта капитального строительства, подлежащего реконструкции) условиям контракта (п. 2.9.1 Методики);</w:t>
      </w:r>
    </w:p>
    <w:p>
      <w:pPr>
        <w:pStyle w:val="Style14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передача подрядчику копии разрешения на строительство, реконструкцию объекта; копии решения собственника имущества о его сносе (при необходимости); копии разрешения на вырубку зеленых и лесных насаждений; копии технических условий и разрешений на временное присоединение объекта к сетям инженерно- технического обеспечения в соответствии с проектом организации строительства (п. 2.9.2 Методики);</w:t>
      </w:r>
    </w:p>
    <w:p>
      <w:pPr>
        <w:pStyle w:val="Style14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передача подрядчику копий документов, подтверждающих согласование производства отдельных работ, если необходимость такого согласования установлена законодательством Российской Федерации (п. 2.9.3 Методики);</w:t>
      </w:r>
    </w:p>
    <w:p>
      <w:pPr>
        <w:pStyle w:val="Style14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подключение объекта к сетям инженерно-технического обеспечения в соответствии с техническими условиями, предусмотренными проектной документацией (п. 2.9.4 Методики);</w:t>
      </w:r>
    </w:p>
    <w:p>
      <w:pPr>
        <w:pStyle w:val="Style14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подписание акта о соответствии состояния земельного участка условиям контракта при завершении строительства, реконструкции объекта (п. 2.9.5 Методики).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пояснениям, представленным Заказчиком.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части пункта 2.9.1 Методики: выдача акта о соответствии земельного участка на строительство объекта не требуется, т.к. данный объект линейный и будет проходить по землям общего пользования.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части пункта 2.9.2 Методики: разрешение на строительство не требуется (данное условие включено в Раздел 5 аукционной документации «Проект контракта» в пункт «Общие положения»);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Разрешение на вырубку зеленых и лесных насаждений не требуется, что указано в пояснительной записке в составе размещенной проектной документации электронного аукциона (раздел 1, лист 26), выдача разрешений на временное присоединение к сетям инженерно-технического обеспечения не установлена.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Временное присоединение объекта к сетям инженерно-технического обеспечения в соответствии с проектом организации строительства подрядчик осуществляет самостоятельно путем заключения прямых договоров с коммунальными службами, что предусмотрено пунктом 2.1 проекта контракта;</w:t>
      </w:r>
    </w:p>
    <w:p>
      <w:pPr>
        <w:pStyle w:val="Style14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 части пункта 2.9.3 Методики: указанные работы не предусмотрены в рамках рассматриваемой закупки;</w:t>
      </w:r>
    </w:p>
    <w:p>
      <w:pPr>
        <w:pStyle w:val="Style14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 части пункта 2.9.4 Методики: сроки подключения объекта к сетям инженерно-технического обеспечения указаны в п. 3.1 Графика выполнения строительно-монтажных работ (приложение № 4 к контракту);</w:t>
      </w:r>
    </w:p>
    <w:p>
      <w:pPr>
        <w:pStyle w:val="Style14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 части пункта 2.9.5 Методики: подписание акта о возврате земельного участка не требуется, т.к. земельный участок не передается.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 представленных документов и информации, размещенной в ЕИС, установлено, что в графике строительно-монтажных работ по объекту капитального строительства: «Строительство межпоселкового хозпитьевого водоснабжения для с. Верхнепогромное. Водовод в 2 линии» Приложения № 4 к контракту, содержатся сведения, предусмотренные Методикой, утвержденные Приказом № 336/пр, в связи с чем довод не находит своего подтверждения и является необоснованным.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качестве третьего довода жалобы Заявитель указывает на отсутствие в составе аукционной документации проекта сметы контракта, предусмотренного приказом Министерства строительства и жилищно-коммунального хозяйства Российской Федерации от 23 декабря 2019 г. № 841/пр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и Методики составления сметы контракта, предметом которого являются строительство, реконструкция объектов капитального строительства» (далее - Приказ № 841/пр).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части данного довода комиссия установила следующее.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 6.1 ст. 110.2 Закона о контрактной системе оплата выполненных работ осуществляется в пределах цены контрактов, предметом которых являются строительство, реконструкция объектов капитального строительства, в соответствии с их сметой в сроки и в размерах, которые установлены таким контрактом или графиком оплаты выполненных по контракту работ (при наличии) с учетом графика выполнения строительно-монтажных работ и фактически выполненных подрядчиком работ. При этом составление сметы такого контракта осуществляется в пределах цены контракта без использования предусмотренных проектной документацией в соответствии с Градостроительным кодексом Российской Федерации сметных нормативов, сведения о которых включены в федеральный реестр сметных нормативов, и сметных цен строительных ресурсов.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2 приложения 2 «Методика составления сметы контракта, предметом которого являются строительство, реконструкция объектов капитального строительства» к приказу Министерства строительства и жилищно-коммунального хозяйства Российской Федерации от 23 декабря 2019 года № 841/пр (далее - Методика) смета контракта на выполнение подрядных работ по строительству некапитальных строений и сооружений, а также других подрядных работ, указанных в разделе VI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(далее - Порядок), по соглашению сторон контракта может быть составлена в соответствии с Методикой, если в составе документации о закупке размещен проект сметы контракта.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Пунктом 4 Методики установлено, что при осуществлении закупки подрядных работ по строительству и реконструкции путем проведения конкурентных способов определения подрядчиков смета контракта составляется заказчиком на основании размещенного в единой информационной системе в сфере закупок в порядке, установленном в порядке, проекта сметы контракта посредством указания цены каждого конструктивного решения (элемента), комплекса (вида) работ с учетом пропорционального снижения начальной (максимальной) цены контракта участником закупки, с которым заключается контракт.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8 ч. 1 ст. 33 Закона о контрактной системе заказчик при описании в документации о закупке объекта закупки должен руководствоваться, в том числе, следующим правилом: документация о закупке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о градостроительной деятельности, за исключением случая, если подготовка проектной документации в соответствии с указанным законодательством не требуется, а также случаев осуществления закупки в соответствии с частями 16 и 16.1 статьи 34 Закона о контрактной системе, при которых предметом контракта является в том числе проектирование объекта капитального строительства. Включение проектной документации в документацию о закупке в соответствии с настоящим пунктом является надлежащим исполнением требований пунктов 1-3 части 33 Закона о контрактной системе.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Учитывая вышеизложенное, Комиссия приходит к выводу, что проектом сметы контракта являются размещенные в ЕИС в составе проектной документации сметы.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связи с чем, довод Заявителя также не находит своего подтверждения и является необоснованным.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284" w:line="295" w:lineRule="exact"/>
        <w:ind w:left="140" w:right="30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Руководствуясь главой 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center"/>
        <w:spacing w:before="0" w:after="557" w:line="240" w:lineRule="exact"/>
        <w:ind w:left="1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140" w:right="30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Признать жалобу ООО «Техстройпартнер» вх. № 1180 от 09.02.2021 на положения документации при проведении закупки «Строительство межпоселкового хозпитьевого водоснабжения для с. Верхнепогромное. Водовод в 2 линии» (номер извещения 0329200062221000073) необоснованной.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362" w:line="598" w:lineRule="exact"/>
        <w:ind w:left="0" w:right="25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 Члены Комиссии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7132" w:line="295" w:lineRule="exact"/>
        <w:ind w:left="140" w:right="480" w:firstLine="7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Комиссии может быть обжаловано в Арбитражный суд Волгоградской области в течение трех месяцев со дня его принятия.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89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Гейбатова А.Д. </w:t>
      </w:r>
      <w:r>
        <w:rPr>
          <w:rStyle w:val="CharStyle20"/>
        </w:rPr>
        <w:t>24</w:t>
      </w:r>
      <w:r>
        <w:rPr>
          <w:rStyle w:val="CharStyle21"/>
        </w:rPr>
        <w:t>-</w:t>
      </w:r>
      <w:r>
        <w:rPr>
          <w:rStyle w:val="CharStyle20"/>
        </w:rPr>
        <w:t>22-64</w:t>
      </w:r>
    </w:p>
    <w:sectPr>
      <w:type w:val="continuous"/>
      <w:pgSz w:w="11906" w:h="16838"/>
      <w:pgMar w:top="1304" w:left="873" w:right="812" w:bottom="83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3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 (5) Exact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-3"/>
    </w:rPr>
  </w:style>
  <w:style w:type="character" w:customStyle="1" w:styleId="CharStyle8">
    <w:name w:val="Основной текст (3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0">
    <w:name w:val="Заголовок №1_"/>
    <w:basedOn w:val="DefaultParagraphFont"/>
    <w:link w:val="Style9"/>
    <w:rPr>
      <w:b w:val="0"/>
      <w:bCs w:val="0"/>
      <w:i/>
      <w:iCs/>
      <w:u w:val="none"/>
      <w:strike w:val="0"/>
      <w:smallCaps w:val="0"/>
      <w:sz w:val="42"/>
      <w:szCs w:val="42"/>
      <w:rFonts w:ascii="Times New Roman" w:eastAsia="Times New Roman" w:hAnsi="Times New Roman" w:cs="Times New Roman"/>
      <w:spacing w:val="-30"/>
    </w:rPr>
  </w:style>
  <w:style w:type="character" w:customStyle="1" w:styleId="CharStyle11">
    <w:name w:val="Заголовок №1"/>
    <w:basedOn w:val="CharStyle10"/>
    <w:rPr>
      <w:lang w:val="ru-RU" w:eastAsia="ru-RU" w:bidi="ru-RU"/>
      <w:w w:val="100"/>
      <w:color w:val="000000"/>
      <w:position w:val="0"/>
    </w:rPr>
  </w:style>
  <w:style w:type="character" w:customStyle="1" w:styleId="CharStyle12">
    <w:name w:val="Заголовок №1 + Не курсив,Интервал 0 pt"/>
    <w:basedOn w:val="CharStyle10"/>
    <w:rPr>
      <w:lang w:val="1024"/>
      <w:i/>
      <w:iCs/>
      <w:w w:val="100"/>
      <w:spacing w:val="0"/>
      <w:color w:val="000000"/>
      <w:position w:val="0"/>
    </w:rPr>
  </w:style>
  <w:style w:type="character" w:customStyle="1" w:styleId="CharStyle13">
    <w:name w:val="Заголовок №1 + 10 pt,Не курсив,Интервал 0 pt"/>
    <w:basedOn w:val="CharStyle10"/>
    <w:rPr>
      <w:lang w:val="ru-RU" w:eastAsia="ru-RU" w:bidi="ru-RU"/>
      <w:i/>
      <w:iCs/>
      <w:sz w:val="20"/>
      <w:szCs w:val="20"/>
      <w:w w:val="100"/>
      <w:spacing w:val="0"/>
      <w:color w:val="000000"/>
      <w:position w:val="0"/>
    </w:rPr>
  </w:style>
  <w:style w:type="character" w:customStyle="1" w:styleId="CharStyle15">
    <w:name w:val="Основной текст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6">
    <w:name w:val="Основной текст (4)_"/>
    <w:basedOn w:val="DefaultParagraphFont"/>
    <w:link w:val="Style17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9">
    <w:name w:val="Основной текст (6)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20">
    <w:name w:val="Основной текст (6) + 9 pt"/>
    <w:basedOn w:val="CharStyle19"/>
    <w:rPr>
      <w:lang w:val="ru-RU" w:eastAsia="ru-RU" w:bidi="ru-RU"/>
      <w:sz w:val="18"/>
      <w:szCs w:val="18"/>
      <w:w w:val="100"/>
      <w:spacing w:val="0"/>
      <w:color w:val="000000"/>
      <w:position w:val="0"/>
    </w:rPr>
  </w:style>
  <w:style w:type="character" w:customStyle="1" w:styleId="CharStyle21">
    <w:name w:val="Основной текст (6) + 4 pt"/>
    <w:basedOn w:val="CharStyle19"/>
    <w:rPr>
      <w:lang w:val="ru-RU" w:eastAsia="ru-RU" w:bidi="ru-RU"/>
      <w:sz w:val="8"/>
      <w:szCs w:val="8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240" w:line="259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 (5)"/>
    <w:basedOn w:val="Normal"/>
    <w:link w:val="CharStyle6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-3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before="60" w:line="209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jc w:val="both"/>
      <w:outlineLvl w:val="0"/>
      <w:spacing w:after="240" w:line="0" w:lineRule="exact"/>
    </w:pPr>
    <w:rPr>
      <w:b w:val="0"/>
      <w:bCs w:val="0"/>
      <w:i/>
      <w:iCs/>
      <w:u w:val="none"/>
      <w:strike w:val="0"/>
      <w:smallCaps w:val="0"/>
      <w:sz w:val="42"/>
      <w:szCs w:val="42"/>
      <w:rFonts w:ascii="Times New Roman" w:eastAsia="Times New Roman" w:hAnsi="Times New Roman" w:cs="Times New Roman"/>
      <w:spacing w:val="-30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FFFFFF"/>
      <w:spacing w:before="24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7">
    <w:name w:val="Основной текст (4)"/>
    <w:basedOn w:val="Normal"/>
    <w:link w:val="CharStyle16"/>
    <w:pPr>
      <w:widowControl w:val="0"/>
      <w:shd w:val="clear" w:color="auto" w:fill="FFFFFF"/>
      <w:spacing w:line="277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8">
    <w:name w:val="Основной текст (6)"/>
    <w:basedOn w:val="Normal"/>
    <w:link w:val="CharStyle19"/>
    <w:pPr>
      <w:widowControl w:val="0"/>
      <w:shd w:val="clear" w:color="auto" w:fill="FFFFFF"/>
      <w:spacing w:before="7080" w:line="23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