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70" w:wrap="around" w:vAnchor="text" w:hAnchor="margin" w:x="-282" w:y="4147"/>
        <w:widowControl w:val="0"/>
        <w:keepNext w:val="0"/>
        <w:keepLines w:val="0"/>
        <w:shd w:val="clear" w:color="auto" w:fill="auto"/>
        <w:bidi w:val="0"/>
        <w:jc w:val="left"/>
        <w:spacing w:before="0" w:after="0" w:line="170" w:lineRule="exact"/>
        <w:ind w:left="0" w:right="0" w:firstLine="0"/>
      </w:pPr>
      <w:r>
        <w:rPr>
          <w:rStyle w:val="CharStyle5"/>
          <w:spacing w:val="0"/>
        </w:rPr>
        <w:t>На №</w:t>
      </w:r>
    </w:p>
    <w:p>
      <w:pPr>
        <w:widowControl w:val="0"/>
        <w:rPr>
          <w:sz w:val="2"/>
          <w:szCs w:val="2"/>
        </w:rPr>
      </w:pPr>
    </w:p>
    <w:p>
      <w:pPr>
        <w:pStyle w:val="Style6"/>
        <w:widowControl w:val="0"/>
        <w:keepNext w:val="0"/>
        <w:keepLines w:val="0"/>
        <w:shd w:val="clear" w:color="auto" w:fill="auto"/>
        <w:bidi w:val="0"/>
        <w:spacing w:before="0" w:after="188"/>
        <w:ind w:left="2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192" w:line="230" w:lineRule="exact"/>
        <w:ind w:left="20" w:right="0" w:firstLine="0"/>
      </w:pPr>
      <w:r>
        <w:rPr>
          <w:rStyle w:val="CharStyle8"/>
          <w:b/>
          <w:bCs/>
        </w:rPr>
        <w:t>УПРАВЛЕ</w:t>
      </w:r>
      <w:r>
        <w:rPr>
          <w:rStyle w:val="CharStyle9"/>
          <w:b/>
          <w:bCs/>
        </w:rPr>
        <w:t>НИЕ</w:t>
      </w:r>
      <w:r>
        <w:rPr>
          <w:rStyle w:val="CharStyle8"/>
          <w:b/>
          <w:bCs/>
        </w:rPr>
        <w:t xml:space="preserve"> Федеральной антимонопольной службы по Нижегородской области</w:t>
      </w:r>
    </w:p>
    <w:p>
      <w:pPr>
        <w:pStyle w:val="Style3"/>
        <w:widowControl w:val="0"/>
        <w:keepNext w:val="0"/>
        <w:keepLines w:val="0"/>
        <w:shd w:val="clear" w:color="auto" w:fill="auto"/>
        <w:bidi w:val="0"/>
        <w:jc w:val="left"/>
        <w:spacing w:before="0" w:after="161"/>
        <w:ind w:left="20" w:right="520" w:firstLine="1140"/>
      </w:pPr>
      <w:r>
        <w:rPr>
          <w:rStyle w:val="CharStyle11"/>
        </w:rPr>
        <w:t xml:space="preserve">пл. Горького, 6 г. Нижний Новгород, 603000 тел. (831) 431 -73-73, (831) 431-73-83 </w:t>
      </w:r>
      <w:r>
        <w:rPr>
          <w:rStyle w:val="CharStyle12"/>
        </w:rPr>
        <w:t xml:space="preserve">e-mail: </w:t>
      </w:r>
      <w:r>
        <w:fldChar w:fldCharType="begin"/>
      </w:r>
      <w:r>
        <w:rPr>
          <w:rStyle w:val="CharStyle12"/>
        </w:rPr>
        <w:instrText> HYPERLINK "mailto:to52@fas.gov.ru" </w:instrText>
      </w:r>
      <w:r>
        <w:fldChar w:fldCharType="separate"/>
      </w:r>
      <w:r>
        <w:rPr>
          <w:rStyle w:val="Hyperlink"/>
        </w:rPr>
        <w:t>to52@fas.gov.ru</w:t>
      </w:r>
      <w:r>
        <w:fldChar w:fldCharType="end"/>
      </w:r>
    </w:p>
    <w:p>
      <w:pPr>
        <w:pStyle w:val="Style13"/>
        <w:tabs>
          <w:tab w:leader="none" w:pos="1939" w:val="right"/>
          <w:tab w:leader="none" w:pos="2290" w:val="left"/>
        </w:tabs>
        <w:widowControl w:val="0"/>
        <w:keepNext/>
        <w:keepLines/>
        <w:shd w:val="clear" w:color="auto" w:fill="auto"/>
        <w:bidi w:val="0"/>
        <w:spacing w:before="0" w:after="302" w:line="240" w:lineRule="exact"/>
        <w:ind w:left="120" w:right="0" w:firstLine="0"/>
      </w:pPr>
      <w:r>
        <w:fldChar w:fldCharType="begin"/>
      </w:r>
      <w:r>
        <w:rPr>
          <w:color w:val="000000"/>
        </w:rPr>
        <w:instrText> HYPERLINK "file://f207ca94-a13c-4ba0-b72d-f018c9eed8f1/" </w:instrText>
      </w:r>
      <w:r>
        <w:fldChar w:fldCharType="separate"/>
      </w:r>
      <w:bookmarkStart w:id="0" w:name="bookmark0"/>
      <w:r>
        <w:rPr>
          <w:rStyle w:val="Hyperlink"/>
          <w:lang w:val="ru-RU" w:eastAsia="ru-RU" w:bidi="ru-RU"/>
          <w:sz w:val="24"/>
          <w:szCs w:val="24"/>
          <w:w w:val="100"/>
          <w:spacing w:val="0"/>
          <w:position w:val="0"/>
        </w:rPr>
        <w:t>15.02.2021</w:t>
      </w:r>
      <w:r>
        <w:fldChar w:fldCharType="end"/>
      </w:r>
      <w:r>
        <w:rPr>
          <w:lang w:val="ru-RU" w:eastAsia="ru-RU" w:bidi="ru-RU"/>
          <w:sz w:val="24"/>
          <w:szCs w:val="24"/>
          <w:w w:val="100"/>
          <w:spacing w:val="0"/>
          <w:color w:val="000000"/>
          <w:position w:val="0"/>
        </w:rPr>
        <w:tab/>
        <w:t>№</w:t>
        <w:tab/>
        <w:t>АБ/2505/21</w:t>
      </w:r>
      <w:bookmarkEnd w:id="0"/>
    </w:p>
    <w:p>
      <w:pPr>
        <w:pStyle w:val="Style15"/>
        <w:widowControl w:val="0"/>
        <w:keepNext w:val="0"/>
        <w:keepLines w:val="0"/>
        <w:shd w:val="clear" w:color="auto" w:fill="auto"/>
        <w:bidi w:val="0"/>
        <w:spacing w:before="0" w:after="0" w:line="120" w:lineRule="exact"/>
        <w:ind w:left="20" w:right="0" w:firstLine="0"/>
      </w:pPr>
      <w:r>
        <w:rPr>
          <w:rStyle w:val="CharStyle17"/>
        </w:rPr>
        <w:t>ОТ</w:t>
      </w:r>
    </w:p>
    <w:p>
      <w:pPr>
        <w:pStyle w:val="Style18"/>
        <w:widowControl w:val="0"/>
        <w:keepNext w:val="0"/>
        <w:keepLines w:val="0"/>
        <w:shd w:val="clear" w:color="auto" w:fill="auto"/>
        <w:bidi w:val="0"/>
        <w:jc w:val="left"/>
        <w:spacing w:before="0" w:after="293"/>
        <w:ind w:left="20" w:right="20" w:firstLine="0"/>
      </w:pPr>
      <w:r>
        <w:rPr>
          <w:lang w:val="ru-RU" w:eastAsia="ru-RU" w:bidi="ru-RU"/>
          <w:w w:val="100"/>
          <w:spacing w:val="0"/>
          <w:color w:val="000000"/>
          <w:position w:val="0"/>
        </w:rPr>
        <w:t xml:space="preserve">Общество с ограниченной ответственностью «Данделион» 655017, Республика Хакасия, г.Абакан, ул. Пушкина 213Н, оф.1, </w:t>
      </w:r>
      <w:r>
        <w:fldChar w:fldCharType="begin"/>
      </w:r>
      <w:r>
        <w:rPr>
          <w:color w:val="000000"/>
        </w:rPr>
        <w:instrText> HYPERLINK "mailto:dandelion-2015@yandex.ru" </w:instrText>
      </w:r>
      <w:r>
        <w:fldChar w:fldCharType="separate"/>
      </w:r>
      <w:r>
        <w:rPr>
          <w:rStyle w:val="Hyperlink"/>
          <w:lang w:val="en-US" w:eastAsia="en-US" w:bidi="en-US"/>
          <w:w w:val="100"/>
          <w:spacing w:val="0"/>
          <w:position w:val="0"/>
        </w:rPr>
        <w:t>dandelion-2015@yandex.ru</w:t>
      </w:r>
      <w:r>
        <w:fldChar w:fldCharType="end"/>
      </w:r>
    </w:p>
    <w:p>
      <w:pPr>
        <w:pStyle w:val="Style18"/>
        <w:widowControl w:val="0"/>
        <w:keepNext w:val="0"/>
        <w:keepLines w:val="0"/>
        <w:shd w:val="clear" w:color="auto" w:fill="auto"/>
        <w:bidi w:val="0"/>
        <w:jc w:val="left"/>
        <w:spacing w:before="0" w:after="0" w:line="326" w:lineRule="exact"/>
        <w:ind w:left="20" w:right="800" w:firstLine="0"/>
      </w:pPr>
      <w:r>
        <w:rPr>
          <w:lang w:val="ru-RU" w:eastAsia="ru-RU" w:bidi="ru-RU"/>
          <w:w w:val="100"/>
          <w:spacing w:val="0"/>
          <w:color w:val="000000"/>
          <w:position w:val="0"/>
        </w:rPr>
        <w:t>ЭТП Национальная электронная площадка</w:t>
      </w:r>
    </w:p>
    <w:p>
      <w:pPr>
        <w:pStyle w:val="Style18"/>
        <w:widowControl w:val="0"/>
        <w:keepNext w:val="0"/>
        <w:keepLines w:val="0"/>
        <w:shd w:val="clear" w:color="auto" w:fill="auto"/>
        <w:bidi w:val="0"/>
        <w:jc w:val="left"/>
        <w:spacing w:before="0" w:after="0" w:line="322" w:lineRule="exact"/>
        <w:ind w:left="20" w:right="20" w:firstLine="0"/>
        <w:sectPr>
          <w:footnotePr>
            <w:pos w:val="pageBottom"/>
            <w:numFmt w:val="decimal"/>
            <w:numRestart w:val="continuous"/>
          </w:footnotePr>
          <w:type w:val="continuous"/>
          <w:pgSz w:w="11906" w:h="16838"/>
          <w:pgMar w:top="161" w:left="1165" w:right="1107" w:bottom="905" w:header="0" w:footer="3" w:gutter="0"/>
          <w:rtlGutter w:val="0"/>
          <w:cols w:num="2" w:space="720" w:equalWidth="0">
            <w:col w:w="3552" w:space="1426"/>
            <w:col w:w="4656"/>
          </w:cols>
          <w:noEndnote/>
          <w:docGrid w:linePitch="360"/>
        </w:sectPr>
      </w:pPr>
      <w:r>
        <w:rPr>
          <w:lang w:val="ru-RU" w:eastAsia="ru-RU" w:bidi="ru-RU"/>
          <w:w w:val="100"/>
          <w:spacing w:val="0"/>
          <w:color w:val="000000"/>
          <w:position w:val="0"/>
        </w:rPr>
        <w:t xml:space="preserve">123112, г. Москва,ул. Тестовская, д. 10, этаж 25, пом. 1, комн. 1 </w:t>
      </w:r>
      <w:r>
        <w:fldChar w:fldCharType="begin"/>
      </w:r>
      <w:r>
        <w:rPr>
          <w:color w:val="000000"/>
        </w:rPr>
        <w:instrText> HYPERLINK "mailto:auditors@etpz.ru" </w:instrText>
      </w:r>
      <w:r>
        <w:fldChar w:fldCharType="separate"/>
      </w:r>
      <w:r>
        <w:rPr>
          <w:rStyle w:val="Hyperlink"/>
          <w:lang w:val="en-US" w:eastAsia="en-US" w:bidi="en-US"/>
          <w:w w:val="100"/>
          <w:spacing w:val="0"/>
          <w:position w:val="0"/>
        </w:rPr>
        <w:t>auditors@etpz.ru</w:t>
      </w:r>
      <w:r>
        <w:fldChar w:fldCharType="end"/>
      </w: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Решение по делу 052/06/64-245/2021 (07/31-РК)</w:t>
      </w:r>
    </w:p>
    <w:p>
      <w:pPr>
        <w:pStyle w:val="Style18"/>
        <w:widowControl w:val="0"/>
        <w:keepNext w:val="0"/>
        <w:keepLines w:val="0"/>
        <w:shd w:val="clear" w:color="auto" w:fill="auto"/>
        <w:bidi w:val="0"/>
        <w:jc w:val="left"/>
        <w:spacing w:before="0" w:after="0" w:line="322" w:lineRule="exact"/>
        <w:ind w:left="0" w:right="0" w:firstLine="0"/>
        <w:sectPr>
          <w:type w:val="continuous"/>
          <w:pgSz w:w="11906" w:h="16838"/>
          <w:pgMar w:top="176" w:left="944" w:right="1078" w:bottom="7410" w:header="0" w:footer="3" w:gutter="0"/>
          <w:rtlGutter w:val="0"/>
          <w:cols w:num="2" w:space="720" w:equalWidth="0">
            <w:col w:w="3902" w:space="1296"/>
            <w:col w:w="4685"/>
          </w:cols>
          <w:noEndnote/>
          <w:docGrid w:linePitch="360"/>
        </w:sectPr>
      </w:pPr>
      <w:r>
        <w:rPr>
          <w:lang w:val="ru-RU" w:eastAsia="ru-RU" w:bidi="ru-RU"/>
          <w:w w:val="100"/>
          <w:spacing w:val="0"/>
          <w:color w:val="000000"/>
          <w:position w:val="0"/>
        </w:rPr>
        <w:t xml:space="preserve">Государственное бюджетное учреждение здравоохранения Нижегородской области "Дзержинский противотуберкулёзный диспансер" 606030, Нижегородская область, г. Дзержинск, ул. Попова, дом 16 </w:t>
      </w:r>
      <w:r>
        <w:fldChar w:fldCharType="begin"/>
      </w:r>
      <w:r>
        <w:rPr>
          <w:color w:val="000000"/>
        </w:rPr>
        <w:instrText> HYPERLINK "mailto:tbcsek@bk.ru" </w:instrText>
      </w:r>
      <w:r>
        <w:fldChar w:fldCharType="separate"/>
      </w:r>
      <w:r>
        <w:rPr>
          <w:rStyle w:val="Hyperlink"/>
          <w:lang w:val="en-US" w:eastAsia="en-US" w:bidi="en-US"/>
          <w:w w:val="100"/>
          <w:spacing w:val="0"/>
          <w:position w:val="0"/>
        </w:rPr>
        <w:t>tbcsek@bk.ru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71" w:after="7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spacing w:before="0" w:after="0"/>
        <w:ind w:left="0" w:right="0" w:firstLine="0"/>
        <w:sectPr>
          <w:type w:val="continuous"/>
          <w:pgSz w:w="11906" w:h="16838"/>
          <w:pgMar w:top="176" w:left="4261" w:right="3954" w:bottom="7410" w:header="0" w:footer="3" w:gutter="0"/>
          <w:rtlGutter w:val="0"/>
          <w:cols w:space="720"/>
          <w:noEndnote/>
          <w:docGrid w:linePitch="360"/>
        </w:sectPr>
      </w:pPr>
      <w:r>
        <w:rPr>
          <w:lang w:val="ru-RU" w:eastAsia="ru-RU" w:bidi="ru-RU"/>
          <w:w w:val="100"/>
          <w:spacing w:val="0"/>
          <w:color w:val="000000"/>
          <w:position w:val="0"/>
        </w:rPr>
        <w:t>РЕШЕНИЕ №052/06/64-245/2021 (07/31-РК)</w:t>
      </w:r>
    </w:p>
    <w:p>
      <w:pPr>
        <w:pStyle w:val="Style20"/>
        <w:framePr w:w="2341" w:h="221" w:wrap="none" w:vAnchor="text" w:hAnchor="margin" w:x="-49"/>
        <w:widowControl w:val="0"/>
        <w:keepNext w:val="0"/>
        <w:keepLines w:val="0"/>
        <w:shd w:val="clear" w:color="auto" w:fill="auto"/>
        <w:bidi w:val="0"/>
        <w:jc w:val="left"/>
        <w:spacing w:before="0" w:after="0" w:line="210" w:lineRule="exact"/>
        <w:ind w:left="100" w:right="0" w:firstLine="0"/>
      </w:pPr>
      <w:r>
        <w:rPr>
          <w:rStyle w:val="CharStyle24"/>
          <w:spacing w:val="0"/>
        </w:rPr>
        <w:t>12 февраля 2021 года</w:t>
      </w:r>
    </w:p>
    <w:p>
      <w:pPr>
        <w:pStyle w:val="Style20"/>
        <w:framePr w:w="2701" w:h="216" w:wrap="none" w:vAnchor="text" w:hAnchor="margin" w:x="7526" w:y="6"/>
        <w:widowControl w:val="0"/>
        <w:keepNext w:val="0"/>
        <w:keepLines w:val="0"/>
        <w:shd w:val="clear" w:color="auto" w:fill="auto"/>
        <w:bidi w:val="0"/>
        <w:jc w:val="left"/>
        <w:spacing w:before="0" w:after="0" w:line="210" w:lineRule="exact"/>
        <w:ind w:left="100" w:right="0" w:firstLine="0"/>
      </w:pPr>
      <w:r>
        <w:rPr>
          <w:rStyle w:val="CharStyle24"/>
          <w:spacing w:val="0"/>
        </w:rPr>
        <w:t>город Нижний Новгород</w:t>
      </w:r>
    </w:p>
    <w:p>
      <w:pPr>
        <w:pStyle w:val="Style20"/>
        <w:framePr w:w="10386" w:h="576" w:wrap="none" w:vAnchor="text" w:hAnchor="margin" w:x="-68" w:y="505"/>
        <w:widowControl w:val="0"/>
        <w:keepNext w:val="0"/>
        <w:keepLines w:val="0"/>
        <w:shd w:val="clear" w:color="auto" w:fill="auto"/>
        <w:bidi w:val="0"/>
        <w:jc w:val="left"/>
        <w:spacing w:before="0" w:after="0" w:line="288" w:lineRule="exact"/>
        <w:ind w:left="100" w:right="100" w:firstLine="560"/>
      </w:pPr>
      <w:r>
        <w:rPr>
          <w:rStyle w:val="CharStyle24"/>
          <w:spacing w:val="0"/>
        </w:rPr>
        <w:t>Комиссия Управления Федеральной антимонопольной службы по Нижегородской области по контролю в сфере закупок в составе:</w:t>
      </w:r>
    </w:p>
    <w:p>
      <w:pPr>
        <w:pStyle w:val="Style20"/>
        <w:numPr>
          <w:ilvl w:val="0"/>
          <w:numId w:val="1"/>
        </w:numPr>
        <w:framePr w:w="10410" w:h="4266" w:wrap="none" w:vAnchor="text" w:hAnchor="margin" w:x="-77" w:y="1253"/>
        <w:widowControl w:val="0"/>
        <w:keepNext w:val="0"/>
        <w:keepLines w:val="0"/>
        <w:shd w:val="clear" w:color="auto" w:fill="auto"/>
        <w:bidi w:val="0"/>
        <w:jc w:val="left"/>
        <w:spacing w:before="0" w:after="73" w:line="210" w:lineRule="exact"/>
        <w:ind w:left="2920" w:right="0"/>
      </w:pPr>
      <w:r>
        <w:rPr>
          <w:rStyle w:val="CharStyle24"/>
          <w:spacing w:val="0"/>
        </w:rPr>
        <w:t xml:space="preserve"> председатель комиссии, заместитель руководителя управления,</w:t>
      </w:r>
    </w:p>
    <w:p>
      <w:pPr>
        <w:pStyle w:val="Style20"/>
        <w:numPr>
          <w:ilvl w:val="0"/>
          <w:numId w:val="1"/>
        </w:numPr>
        <w:framePr w:w="10410" w:h="4266" w:wrap="none" w:vAnchor="text" w:hAnchor="margin" w:x="-77" w:y="1253"/>
        <w:widowControl w:val="0"/>
        <w:keepNext w:val="0"/>
        <w:keepLines w:val="0"/>
        <w:shd w:val="clear" w:color="auto" w:fill="auto"/>
        <w:bidi w:val="0"/>
        <w:jc w:val="left"/>
        <w:spacing w:before="0" w:after="0" w:line="278" w:lineRule="exact"/>
        <w:ind w:left="2920" w:right="220"/>
      </w:pPr>
      <w:r>
        <w:rPr>
          <w:rStyle w:val="CharStyle24"/>
          <w:spacing w:val="0"/>
        </w:rPr>
        <w:t xml:space="preserve"> член комиссии, старший государственный инспектор отдела контроля государственных и муниципальных закупок,</w:t>
      </w:r>
    </w:p>
    <w:p>
      <w:pPr>
        <w:pStyle w:val="Style20"/>
        <w:numPr>
          <w:ilvl w:val="0"/>
          <w:numId w:val="1"/>
        </w:numPr>
        <w:framePr w:w="10410" w:h="4266" w:wrap="none" w:vAnchor="text" w:hAnchor="margin" w:x="-77" w:y="1253"/>
        <w:tabs>
          <w:tab w:leader="none" w:pos="2844" w:val="left"/>
        </w:tabs>
        <w:widowControl w:val="0"/>
        <w:keepNext w:val="0"/>
        <w:keepLines w:val="0"/>
        <w:shd w:val="clear" w:color="auto" w:fill="auto"/>
        <w:bidi w:val="0"/>
        <w:jc w:val="left"/>
        <w:spacing w:before="0" w:after="0" w:line="278" w:lineRule="exact"/>
        <w:ind w:left="2920" w:right="220"/>
      </w:pPr>
      <w:r>
        <w:rPr>
          <w:rStyle w:val="CharStyle24"/>
          <w:spacing w:val="0"/>
        </w:rPr>
        <w:t>член комиссии, главный специалист-эксперт отдела контроля государственных и муниципальных закупок,</w:t>
      </w:r>
    </w:p>
    <w:p>
      <w:pPr>
        <w:pStyle w:val="Style20"/>
        <w:framePr w:w="10410" w:h="4266" w:wrap="none" w:vAnchor="text" w:hAnchor="margin" w:x="-77" w:y="1253"/>
        <w:widowControl w:val="0"/>
        <w:keepNext w:val="0"/>
        <w:keepLines w:val="0"/>
        <w:shd w:val="clear" w:color="auto" w:fill="auto"/>
        <w:bidi w:val="0"/>
        <w:spacing w:before="0" w:after="0" w:line="278" w:lineRule="exact"/>
        <w:ind w:left="260" w:right="0" w:firstLine="0"/>
      </w:pPr>
      <w:r>
        <w:rPr>
          <w:rStyle w:val="CharStyle24"/>
          <w:spacing w:val="0"/>
        </w:rPr>
        <w:t>при участии посредством видеоконференцсвязи:</w:t>
      </w:r>
    </w:p>
    <w:p>
      <w:pPr>
        <w:pStyle w:val="Style20"/>
        <w:numPr>
          <w:ilvl w:val="0"/>
          <w:numId w:val="1"/>
        </w:numPr>
        <w:framePr w:w="10410" w:h="4266" w:wrap="none" w:vAnchor="text" w:hAnchor="margin" w:x="-77" w:y="1253"/>
        <w:tabs>
          <w:tab w:leader="none" w:pos="2751" w:val="center"/>
          <w:tab w:leader="none" w:pos="2842" w:val="left"/>
        </w:tabs>
        <w:widowControl w:val="0"/>
        <w:keepNext w:val="0"/>
        <w:keepLines w:val="0"/>
        <w:shd w:val="clear" w:color="auto" w:fill="auto"/>
        <w:bidi w:val="0"/>
        <w:spacing w:before="0" w:after="0" w:line="278" w:lineRule="exact"/>
        <w:ind w:left="260" w:right="0" w:firstLine="0"/>
      </w:pPr>
      <w:r>
        <w:rPr>
          <w:rStyle w:val="CharStyle24"/>
          <w:spacing w:val="0"/>
        </w:rPr>
        <w:t xml:space="preserve"> Сабиченковой О.В.</w:t>
        <w:tab/>
        <w:t>-</w:t>
        <w:tab/>
        <w:t>директора ООО «Данделион»,</w:t>
      </w:r>
    </w:p>
    <w:p>
      <w:pPr>
        <w:pStyle w:val="Style20"/>
        <w:numPr>
          <w:ilvl w:val="0"/>
          <w:numId w:val="1"/>
        </w:numPr>
        <w:framePr w:w="10410" w:h="4266" w:wrap="none" w:vAnchor="text" w:hAnchor="margin" w:x="-77" w:y="1253"/>
        <w:tabs>
          <w:tab w:leader="none" w:pos="2751" w:val="center"/>
          <w:tab w:leader="none" w:pos="2842" w:val="left"/>
        </w:tabs>
        <w:widowControl w:val="0"/>
        <w:keepNext w:val="0"/>
        <w:keepLines w:val="0"/>
        <w:shd w:val="clear" w:color="auto" w:fill="auto"/>
        <w:bidi w:val="0"/>
        <w:spacing w:before="0" w:after="0" w:line="278" w:lineRule="exact"/>
        <w:ind w:left="260" w:right="0" w:firstLine="0"/>
      </w:pPr>
      <w:r>
        <w:rPr>
          <w:rStyle w:val="CharStyle24"/>
          <w:spacing w:val="0"/>
        </w:rPr>
        <w:t xml:space="preserve"> Исхаковой Н.А.</w:t>
        <w:tab/>
        <w:t>-</w:t>
        <w:tab/>
        <w:t>представителя ГБУЗ НО "Дзержинский противотуберкулёзный</w:t>
      </w:r>
    </w:p>
    <w:p>
      <w:pPr>
        <w:pStyle w:val="Style20"/>
        <w:framePr w:w="10410" w:h="4266" w:wrap="none" w:vAnchor="text" w:hAnchor="margin" w:x="-77" w:y="1253"/>
        <w:widowControl w:val="0"/>
        <w:keepNext w:val="0"/>
        <w:keepLines w:val="0"/>
        <w:shd w:val="clear" w:color="auto" w:fill="auto"/>
        <w:bidi w:val="0"/>
        <w:spacing w:before="0" w:after="0" w:line="278" w:lineRule="exact"/>
        <w:ind w:left="100" w:right="120" w:firstLine="2800"/>
      </w:pPr>
      <w:r>
        <w:rPr>
          <w:rStyle w:val="CharStyle24"/>
          <w:spacing w:val="0"/>
        </w:rPr>
        <w:t>диспансер" (доверенность №2021/02/10 от 10.02.2021), рассмотрев жалобу общества с ограниченной ответственностью «Данделион» (далее также — ООО «Данделион», заявитель) о нарушении ГБУЗ НО "Дзержинский противотуберкулёзный диспансер" (далее также — заказчик) требований законодательства Российской Федерации о контрактной системе при проведении электронного аукциона по объекту закупки: «Оказание услуг по проведению дезинфекционных работ (дератизация, дезинсекция помещений) для нужд ГБУЗ НО «ДПТД» и его филиалов», номер извещения 0332200056521000004,</w:t>
      </w:r>
    </w:p>
    <w:p>
      <w:pPr>
        <w:pStyle w:val="Style20"/>
        <w:numPr>
          <w:ilvl w:val="0"/>
          <w:numId w:val="3"/>
        </w:numPr>
        <w:framePr w:w="1770" w:h="575" w:wrap="none" w:vAnchor="text" w:hAnchor="margin" w:x="81" w:y="1254"/>
        <w:widowControl w:val="0"/>
        <w:keepNext w:val="0"/>
        <w:keepLines w:val="0"/>
        <w:shd w:val="clear" w:color="auto" w:fill="auto"/>
        <w:bidi w:val="0"/>
        <w:jc w:val="left"/>
        <w:spacing w:before="0" w:after="128" w:line="210" w:lineRule="exact"/>
        <w:ind w:left="100" w:right="0" w:firstLine="0"/>
      </w:pPr>
      <w:r>
        <w:rPr>
          <w:rStyle w:val="CharStyle24"/>
          <w:spacing w:val="0"/>
        </w:rPr>
        <w:t xml:space="preserve"> Барышев А.А.</w:t>
      </w:r>
    </w:p>
    <w:p>
      <w:pPr>
        <w:pStyle w:val="Style20"/>
        <w:numPr>
          <w:ilvl w:val="0"/>
          <w:numId w:val="3"/>
        </w:numPr>
        <w:framePr w:w="1770" w:h="575" w:wrap="none" w:vAnchor="text" w:hAnchor="margin" w:x="81" w:y="1254"/>
        <w:widowControl w:val="0"/>
        <w:keepNext w:val="0"/>
        <w:keepLines w:val="0"/>
        <w:shd w:val="clear" w:color="auto" w:fill="auto"/>
        <w:bidi w:val="0"/>
        <w:jc w:val="left"/>
        <w:spacing w:before="0" w:after="0" w:line="210" w:lineRule="exact"/>
        <w:ind w:left="100" w:right="0" w:firstLine="0"/>
      </w:pPr>
      <w:r>
        <w:rPr>
          <w:rStyle w:val="CharStyle24"/>
          <w:spacing w:val="0"/>
        </w:rPr>
        <w:t xml:space="preserve"> Кечин РВ.</w:t>
      </w:r>
    </w:p>
    <w:p>
      <w:pPr>
        <w:pStyle w:val="Style20"/>
        <w:framePr w:w="1688" w:h="216" w:wrap="none" w:vAnchor="text" w:hAnchor="margin" w:x="81" w:y="2185"/>
        <w:widowControl w:val="0"/>
        <w:keepNext w:val="0"/>
        <w:keepLines w:val="0"/>
        <w:shd w:val="clear" w:color="auto" w:fill="auto"/>
        <w:bidi w:val="0"/>
        <w:jc w:val="left"/>
        <w:spacing w:before="0" w:after="0" w:line="210" w:lineRule="exact"/>
        <w:ind w:left="100" w:right="0" w:firstLine="0"/>
      </w:pPr>
      <w:r>
        <w:rPr>
          <w:rStyle w:val="CharStyle24"/>
          <w:spacing w:val="0"/>
        </w:rPr>
        <w:t>-Лазарева Е.А</w:t>
      </w:r>
    </w:p>
    <w:p>
      <w:pPr>
        <w:pStyle w:val="Style25"/>
        <w:framePr w:w="1349" w:h="562" w:wrap="none" w:vAnchor="text" w:hAnchor="margin" w:x="366" w:y="5867"/>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000979459958</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64" w:lineRule="exact"/>
      </w:pPr>
    </w:p>
    <w:p>
      <w:pPr>
        <w:widowControl w:val="0"/>
        <w:rPr>
          <w:sz w:val="2"/>
          <w:szCs w:val="2"/>
        </w:rPr>
        <w:sectPr>
          <w:type w:val="continuous"/>
          <w:pgSz w:w="11906" w:h="16838"/>
          <w:pgMar w:top="156" w:left="824" w:right="824" w:bottom="156" w:header="0" w:footer="3" w:gutter="0"/>
          <w:rtlGutter w:val="0"/>
          <w:cols w:space="720"/>
          <w:noEndnote/>
          <w:docGrid w:linePitch="360"/>
        </w:sectPr>
      </w:pPr>
    </w:p>
    <w:p>
      <w:pPr>
        <w:pStyle w:val="Style22"/>
        <w:widowControl w:val="0"/>
        <w:keepNext w:val="0"/>
        <w:keepLines w:val="0"/>
        <w:shd w:val="clear" w:color="auto" w:fill="auto"/>
        <w:bidi w:val="0"/>
        <w:spacing w:before="0" w:after="258" w:line="220" w:lineRule="exact"/>
        <w:ind w:left="20" w:right="0" w:firstLine="0"/>
      </w:pPr>
      <w:r>
        <w:rPr>
          <w:rStyle w:val="CharStyle27"/>
          <w:b/>
          <w:bCs/>
        </w:rPr>
        <w:t>установила:</w:t>
      </w:r>
    </w:p>
    <w:p>
      <w:pPr>
        <w:pStyle w:val="Style20"/>
        <w:widowControl w:val="0"/>
        <w:keepNext w:val="0"/>
        <w:keepLines w:val="0"/>
        <w:shd w:val="clear" w:color="auto" w:fill="auto"/>
        <w:bidi w:val="0"/>
        <w:spacing w:before="0" w:after="60" w:line="283" w:lineRule="exact"/>
        <w:ind w:left="20" w:right="20" w:firstLine="56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 контрактной системе при проведении электронного аукциона по объекту закупки: «Оказание услуг по проведению дезинфекционных работ (дератизация, дезинсекция помещений) для нужд ГБУЗ НО «ДПТД» и его филиалов», номер извещения 0332200056521000004 (далее также - электронный аукцион).</w:t>
      </w:r>
    </w:p>
    <w:p>
      <w:pPr>
        <w:pStyle w:val="Style20"/>
        <w:widowControl w:val="0"/>
        <w:keepNext w:val="0"/>
        <w:keepLines w:val="0"/>
        <w:shd w:val="clear" w:color="auto" w:fill="auto"/>
        <w:bidi w:val="0"/>
        <w:spacing w:before="0" w:after="0" w:line="283" w:lineRule="exact"/>
        <w:ind w:left="20" w:right="20" w:firstLine="560"/>
      </w:pPr>
      <w:r>
        <w:rPr>
          <w:lang w:val="ru-RU" w:eastAsia="ru-RU" w:bidi="ru-RU"/>
          <w:w w:val="100"/>
          <w:spacing w:val="0"/>
          <w:color w:val="000000"/>
          <w:position w:val="0"/>
        </w:rPr>
        <w:t>По мнению заявителя документация закупки противоречит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20"/>
        <w:widowControl w:val="0"/>
        <w:keepNext w:val="0"/>
        <w:keepLines w:val="0"/>
        <w:shd w:val="clear" w:color="auto" w:fill="auto"/>
        <w:bidi w:val="0"/>
        <w:spacing w:before="0" w:after="60" w:line="283" w:lineRule="exact"/>
        <w:ind w:left="20" w:right="20" w:firstLine="560"/>
      </w:pPr>
      <w:r>
        <w:rPr>
          <w:lang w:val="ru-RU" w:eastAsia="ru-RU" w:bidi="ru-RU"/>
          <w:w w:val="100"/>
          <w:spacing w:val="0"/>
          <w:color w:val="000000"/>
          <w:position w:val="0"/>
        </w:rPr>
        <w:t>Представители заявителя на заседании комиссии Нижегородского УФАС России отсутствовали. Информация о надлежащем уведомлении в материалах дела имеется.</w:t>
      </w:r>
    </w:p>
    <w:p>
      <w:pPr>
        <w:pStyle w:val="Style20"/>
        <w:widowControl w:val="0"/>
        <w:keepNext w:val="0"/>
        <w:keepLines w:val="0"/>
        <w:shd w:val="clear" w:color="auto" w:fill="auto"/>
        <w:bidi w:val="0"/>
        <w:spacing w:before="0" w:after="60" w:line="283" w:lineRule="exact"/>
        <w:ind w:left="20" w:right="20" w:firstLine="560"/>
      </w:pPr>
      <w:r>
        <w:rPr>
          <w:lang w:val="ru-RU" w:eastAsia="ru-RU" w:bidi="ru-RU"/>
          <w:w w:val="100"/>
          <w:spacing w:val="0"/>
          <w:color w:val="000000"/>
          <w:position w:val="0"/>
        </w:rPr>
        <w:t>Представитель заказчика с доводами, изложенными в жалобе заявителя, не согласился, факт нарушений положений Закона о контрактной системе не признал, считает жалобу заявителя необоснованной, а требования, изложенные в ней, - не подлежащими удовлетворению.</w:t>
      </w:r>
    </w:p>
    <w:p>
      <w:pPr>
        <w:pStyle w:val="Style20"/>
        <w:widowControl w:val="0"/>
        <w:keepNext w:val="0"/>
        <w:keepLines w:val="0"/>
        <w:shd w:val="clear" w:color="auto" w:fill="auto"/>
        <w:bidi w:val="0"/>
        <w:spacing w:before="0" w:after="68" w:line="283"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заслушав доводы лиц, участвующих в рассмотрении жалобы, исследовав имеющиеся в деле материалы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её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№727/14, пришла к следующим выводам.</w:t>
      </w:r>
    </w:p>
    <w:p>
      <w:pPr>
        <w:pStyle w:val="Style20"/>
        <w:numPr>
          <w:ilvl w:val="0"/>
          <w:numId w:val="5"/>
        </w:numPr>
        <w:widowControl w:val="0"/>
        <w:keepNext w:val="0"/>
        <w:keepLines w:val="0"/>
        <w:shd w:val="clear" w:color="auto" w:fill="auto"/>
        <w:bidi w:val="0"/>
        <w:spacing w:before="0" w:after="60"/>
        <w:ind w:left="20" w:right="20" w:firstLine="560"/>
      </w:pPr>
      <w:r>
        <w:rPr>
          <w:lang w:val="ru-RU" w:eastAsia="ru-RU" w:bidi="ru-RU"/>
          <w:w w:val="100"/>
          <w:spacing w:val="0"/>
          <w:color w:val="000000"/>
          <w:position w:val="0"/>
        </w:rPr>
        <w:t xml:space="preserve"> 29.01.2021 в единой информационной системе и на сайте электронной площадки Национальная электронная площадка размещены извещение об осуществлении закупки путем проведения электронного аукциона по объекту закупки: «Оказание услуг по проведению дезинфекционных работ (дератизация, дезинсекция помещений) для нужд ГБУЗ НО «ДПТД» и его филиалов», номер извещения 0332200056521000004, и документация об электронном аукционе.</w:t>
      </w:r>
    </w:p>
    <w:p>
      <w:pPr>
        <w:pStyle w:val="Style20"/>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Заказчик данной закупки — ГБУЗ НО "Дзержинский противотуберкулёзный диспансер".</w:t>
      </w:r>
    </w:p>
    <w:p>
      <w:pPr>
        <w:pStyle w:val="Style20"/>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Оператор электронной площадки - Национальная электронная площадка.</w:t>
      </w:r>
    </w:p>
    <w:p>
      <w:pPr>
        <w:pStyle w:val="Style20"/>
        <w:widowControl w:val="0"/>
        <w:keepNext w:val="0"/>
        <w:keepLines w:val="0"/>
        <w:shd w:val="clear" w:color="auto" w:fill="auto"/>
        <w:bidi w:val="0"/>
        <w:spacing w:before="0" w:after="60"/>
        <w:ind w:left="20" w:right="0" w:firstLine="560"/>
      </w:pPr>
      <w:r>
        <w:rPr>
          <w:lang w:val="ru-RU" w:eastAsia="ru-RU" w:bidi="ru-RU"/>
          <w:w w:val="100"/>
          <w:spacing w:val="0"/>
          <w:color w:val="000000"/>
          <w:position w:val="0"/>
        </w:rPr>
        <w:t>Начальная (максимальная) цена контракта - 286 616,99 рублей.</w:t>
      </w:r>
    </w:p>
    <w:p>
      <w:pPr>
        <w:pStyle w:val="Style20"/>
        <w:numPr>
          <w:ilvl w:val="0"/>
          <w:numId w:val="5"/>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силу пункта 6 статьи 31 Закона о контрактной системе в сфере закупок заказчики не вправе устанавливать требования к участникам закупок в нарушение требований названного Федерального закона.</w:t>
      </w:r>
    </w:p>
    <w:p>
      <w:pPr>
        <w:pStyle w:val="Style20"/>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Требования ко второй части заявки на участие в электронном аукционе установлены в пункте 32 документации и изложены следующим образом: «Вторая часть заявки на участие в электронном аукционе должна содержать следующие документы и информацию:</w:t>
      </w:r>
    </w:p>
    <w:p>
      <w:pPr>
        <w:pStyle w:val="Style20"/>
        <w:numPr>
          <w:ilvl w:val="0"/>
          <w:numId w:val="7"/>
        </w:numPr>
        <w:tabs>
          <w:tab w:leader="none" w:pos="1382" w:val="left"/>
        </w:tabs>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20"/>
        <w:numPr>
          <w:ilvl w:val="0"/>
          <w:numId w:val="7"/>
        </w:numPr>
        <w:tabs>
          <w:tab w:leader="none" w:pos="1382" w:val="left"/>
        </w:tabs>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документы, подтверждающие соответствие участника такого аукциона требованиям, установленным пунктом 1 части 1 статьи 31 (при наличии таких требований) Закона о контрактной системе, или копии этих документов:</w:t>
      </w:r>
    </w:p>
    <w:p>
      <w:pPr>
        <w:pStyle w:val="Style20"/>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не требуются;</w:t>
      </w:r>
    </w:p>
    <w:p>
      <w:pPr>
        <w:pStyle w:val="Style20"/>
        <w:numPr>
          <w:ilvl w:val="0"/>
          <w:numId w:val="7"/>
        </w:numPr>
        <w:tabs>
          <w:tab w:leader="none" w:pos="1382" w:val="left"/>
        </w:tabs>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декларация о соответствии участника такого аукциона требованиям, установленным пунктами 3-9 части 1 статьи 31 Закона о контрактной системе (указанная декларация предоставляется с использованием программно-аппаратных средств электронной площадки);</w:t>
      </w:r>
    </w:p>
    <w:p>
      <w:pPr>
        <w:pStyle w:val="Style20"/>
        <w:numPr>
          <w:ilvl w:val="0"/>
          <w:numId w:val="7"/>
        </w:numPr>
        <w:tabs>
          <w:tab w:leader="none" w:pos="1382" w:val="left"/>
        </w:tabs>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настоящей документацией об электронном аукционе:</w:t>
      </w:r>
    </w:p>
    <w:p>
      <w:pPr>
        <w:pStyle w:val="Style20"/>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требуются;</w:t>
      </w:r>
    </w:p>
    <w:p>
      <w:pPr>
        <w:pStyle w:val="Style20"/>
        <w:numPr>
          <w:ilvl w:val="0"/>
          <w:numId w:val="7"/>
        </w:numPr>
        <w:tabs>
          <w:tab w:leader="none" w:pos="1382" w:val="left"/>
        </w:tabs>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20"/>
        <w:numPr>
          <w:ilvl w:val="0"/>
          <w:numId w:val="7"/>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документы, подтверждающие право участника электронного аукциона на получение преимуществ в соответствии со статьями 28 и 29 Закона о контрактной системе (в случае, если участник электронного аукциона заявил о получении указанных преимуществ), или копии таких документов;</w:t>
      </w:r>
    </w:p>
    <w:p>
      <w:pPr>
        <w:pStyle w:val="Style20"/>
        <w:numPr>
          <w:ilvl w:val="0"/>
          <w:numId w:val="7"/>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документы, предусмотренные нормативными правовыми актами, принятыми в соответствии со статьей 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w:t>
      </w:r>
    </w:p>
    <w:p>
      <w:pPr>
        <w:pStyle w:val="Style20"/>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не требуется;</w:t>
      </w:r>
    </w:p>
    <w:p>
      <w:pPr>
        <w:pStyle w:val="Style20"/>
        <w:numPr>
          <w:ilvl w:val="0"/>
          <w:numId w:val="7"/>
        </w:numPr>
        <w:tabs>
          <w:tab w:leader="none" w:pos="1382" w:val="left"/>
        </w:tabs>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 о контрактной системе (указанная декларация предоставляется с использованием программно</w:t>
        <w:softHyphen/>
        <w:t>аппаратных средств электронной площадки).</w:t>
      </w:r>
    </w:p>
    <w:p>
      <w:pPr>
        <w:pStyle w:val="Style20"/>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Закона о контрактной системе, не включаются участником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w:t>
        <w:br w:type="page"/>
        <w:t>статьи 68 Закона о контрактной одновременно со вторыми частями заявок на участие в таком аукционе из числа документов (их копий), размещенных в соответствии с частью 13 статьи 24.2 Закона о контрактной в реестре участников закупок, аккредитованных на электронной площадке.</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Требовать от участника электронного аукциона предоставления иных документов и информации, за исключением предусмотренных пунктами 31-32 части 1 настоящей документации об аукционе документов и информации, не допускается.»</w:t>
      </w:r>
    </w:p>
    <w:p>
      <w:pPr>
        <w:pStyle w:val="Style20"/>
        <w:widowControl w:val="0"/>
        <w:keepNext w:val="0"/>
        <w:keepLines w:val="0"/>
        <w:shd w:val="clear" w:color="auto" w:fill="auto"/>
        <w:bidi w:val="0"/>
        <w:spacing w:before="0" w:after="60"/>
        <w:ind w:left="20" w:right="20" w:firstLine="560"/>
      </w:pPr>
      <w:r>
        <w:rPr>
          <w:lang w:val="ru-RU" w:eastAsia="ru-RU" w:bidi="ru-RU"/>
          <w:w w:val="100"/>
          <w:spacing w:val="0"/>
          <w:color w:val="000000"/>
          <w:position w:val="0"/>
        </w:rPr>
        <w:t>Комиссия Нижегородского УФАС России установила, что неустановление заказчиком требования о наличии во вторых частях заявок у участников закупки лицензии на вид услуг — медицинская действительность по дезинфектологии не противоречит требованиям Закона о контрактной системе.</w:t>
      </w:r>
    </w:p>
    <w:p>
      <w:pPr>
        <w:pStyle w:val="Style20"/>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Следовательно довод жалобы не нашел своего подтверждения.</w:t>
      </w:r>
    </w:p>
    <w:p>
      <w:pPr>
        <w:pStyle w:val="Style20"/>
        <w:widowControl w:val="0"/>
        <w:keepNext w:val="0"/>
        <w:keepLines w:val="0"/>
        <w:shd w:val="clear" w:color="auto" w:fill="auto"/>
        <w:bidi w:val="0"/>
        <w:spacing w:before="0" w:after="283"/>
        <w:ind w:left="20" w:right="20" w:firstLine="560"/>
      </w:pPr>
      <w:r>
        <w:rPr>
          <w:lang w:val="ru-RU" w:eastAsia="ru-RU" w:bidi="ru-RU"/>
          <w:w w:val="100"/>
          <w:spacing w:val="0"/>
          <w:color w:val="000000"/>
          <w:position w:val="0"/>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8"/>
        <w:widowControl w:val="0"/>
        <w:keepNext/>
        <w:keepLines/>
        <w:shd w:val="clear" w:color="auto" w:fill="auto"/>
        <w:bidi w:val="0"/>
        <w:jc w:val="left"/>
        <w:spacing w:before="0" w:after="205" w:line="220" w:lineRule="exact"/>
        <w:ind w:left="5100" w:right="0" w:firstLine="0"/>
      </w:pPr>
      <w:bookmarkStart w:id="1" w:name="bookmark1"/>
      <w:r>
        <w:rPr>
          <w:lang w:val="ru-RU" w:eastAsia="ru-RU" w:bidi="ru-RU"/>
          <w:w w:val="100"/>
          <w:spacing w:val="0"/>
          <w:color w:val="000000"/>
          <w:position w:val="0"/>
        </w:rPr>
        <w:t>решила:</w:t>
      </w:r>
      <w:bookmarkEnd w:id="1"/>
    </w:p>
    <w:p>
      <w:pPr>
        <w:pStyle w:val="Style20"/>
        <w:widowControl w:val="0"/>
        <w:keepNext w:val="0"/>
        <w:keepLines w:val="0"/>
        <w:shd w:val="clear" w:color="auto" w:fill="auto"/>
        <w:bidi w:val="0"/>
        <w:spacing w:before="0" w:after="600"/>
        <w:ind w:left="20" w:right="20" w:firstLine="560"/>
      </w:pPr>
      <w:r>
        <w:rPr>
          <w:lang w:val="ru-RU" w:eastAsia="ru-RU" w:bidi="ru-RU"/>
          <w:w w:val="100"/>
          <w:spacing w:val="0"/>
          <w:color w:val="000000"/>
          <w:position w:val="0"/>
        </w:rPr>
        <w:t>Признать жалобу ООО «Данделион» на действия ГБУЗ НО "Дзержинский противотуберкулёзный диспансер" о нарушении требований законодательства Российской Федерации о контрактной системе при проведении электронного аукциона по объекту закупки: «Оказание услуг по проведению дезинфекционных работ (дератизация, дезинсекция помещений) для нужд ГБУЗ НО «ДПТД» и его филиалов», номер извещения 0332200056521000004, необоснованной.</w:t>
      </w:r>
    </w:p>
    <w:p>
      <w:pPr>
        <w:pStyle w:val="Style30"/>
        <w:widowControl w:val="0"/>
        <w:keepNext w:val="0"/>
        <w:keepLines w:val="0"/>
        <w:shd w:val="clear" w:color="auto" w:fill="auto"/>
        <w:bidi w:val="0"/>
        <w:spacing w:before="0" w:after="0"/>
        <w:ind w:left="20" w:right="20"/>
        <w:sectPr>
          <w:pgSz w:w="11906" w:h="16838"/>
          <w:pgMar w:top="892" w:left="847" w:right="839" w:bottom="1910" w:header="0" w:footer="3" w:gutter="0"/>
          <w:rtlGutter w:val="0"/>
          <w:cols w:space="720"/>
          <w:noEndnote/>
          <w:docGrid w:linePitch="360"/>
        </w:sectPr>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20"/>
        <w:framePr w:w="1678" w:h="1382" w:wrap="none" w:vAnchor="text" w:hAnchor="margin" w:x="7924" w:y="3"/>
        <w:widowControl w:val="0"/>
        <w:keepNext w:val="0"/>
        <w:keepLines w:val="0"/>
        <w:shd w:val="clear" w:color="auto" w:fill="auto"/>
        <w:bidi w:val="0"/>
        <w:jc w:val="left"/>
        <w:spacing w:before="0" w:after="0" w:line="552" w:lineRule="exact"/>
        <w:ind w:left="120" w:right="100" w:firstLine="0"/>
      </w:pPr>
      <w:r>
        <w:rPr>
          <w:rStyle w:val="CharStyle24"/>
          <w:spacing w:val="0"/>
        </w:rPr>
        <w:t>А.А. Барышев РВ. Кечин Е.А.Лазарева</w:t>
      </w:r>
    </w:p>
    <w:p>
      <w:pPr>
        <w:pStyle w:val="Style20"/>
        <w:framePr w:w="2624" w:h="824" w:wrap="none" w:vAnchor="text" w:hAnchor="margin" w:x="787" w:y="3"/>
        <w:widowControl w:val="0"/>
        <w:keepNext w:val="0"/>
        <w:keepLines w:val="0"/>
        <w:shd w:val="clear" w:color="auto" w:fill="auto"/>
        <w:bidi w:val="0"/>
        <w:spacing w:before="0" w:after="0" w:line="547" w:lineRule="exact"/>
        <w:ind w:left="100" w:right="100" w:firstLine="0"/>
      </w:pPr>
      <w:r>
        <w:rPr>
          <w:rStyle w:val="CharStyle24"/>
          <w:spacing w:val="0"/>
        </w:rPr>
        <w:t>Председатель комиссии Члены комиссии</w:t>
      </w:r>
    </w:p>
    <w:p>
      <w:pPr>
        <w:widowControl w:val="0"/>
        <w:spacing w:line="360" w:lineRule="exact"/>
      </w:pPr>
    </w:p>
    <w:p>
      <w:pPr>
        <w:widowControl w:val="0"/>
        <w:spacing w:line="360" w:lineRule="exact"/>
      </w:pPr>
    </w:p>
    <w:p>
      <w:pPr>
        <w:widowControl w:val="0"/>
        <w:spacing w:line="592" w:lineRule="exact"/>
      </w:pPr>
    </w:p>
    <w:p>
      <w:pPr>
        <w:widowControl w:val="0"/>
        <w:rPr>
          <w:sz w:val="2"/>
          <w:szCs w:val="2"/>
        </w:rPr>
        <w:sectPr>
          <w:type w:val="continuous"/>
          <w:pgSz w:w="11906" w:h="16838"/>
          <w:pgMar w:top="848" w:left="823" w:right="823" w:bottom="848" w:header="0" w:footer="3" w:gutter="0"/>
          <w:rtlGutter w:val="0"/>
          <w:cols w:space="720"/>
          <w:noEndnote/>
          <w:docGrid w:linePitch="360"/>
        </w:sectPr>
      </w:pPr>
    </w:p>
    <w:p>
      <w:pPr>
        <w:pStyle w:val="Style20"/>
        <w:widowControl w:val="0"/>
        <w:keepNext w:val="0"/>
        <w:keepLines w:val="0"/>
        <w:shd w:val="clear" w:color="auto" w:fill="auto"/>
        <w:bidi w:val="0"/>
        <w:jc w:val="left"/>
        <w:spacing w:before="0" w:after="0" w:line="220" w:lineRule="exact"/>
        <w:ind w:left="0" w:right="0" w:firstLine="0"/>
        <w:sectPr>
          <w:type w:val="continuous"/>
          <w:pgSz w:w="11906" w:h="16838"/>
          <w:pgMar w:top="515" w:left="851" w:right="9285" w:bottom="1619" w:header="0" w:footer="3" w:gutter="0"/>
          <w:rtlGutter w:val="0"/>
          <w:cols w:space="720"/>
          <w:noEndnote/>
          <w:docGrid w:linePitch="360"/>
        </w:sectPr>
      </w:pPr>
      <w:r>
        <w:rPr>
          <w:lang w:val="ru-RU" w:eastAsia="ru-RU" w:bidi="ru-RU"/>
          <w:w w:val="100"/>
          <w:spacing w:val="0"/>
          <w:color w:val="000000"/>
          <w:position w:val="0"/>
        </w:rPr>
        <w:t>Исп.Кечин РВ.</w:t>
      </w:r>
    </w:p>
    <w:p>
      <w:pPr>
        <w:pStyle w:val="Style20"/>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тел.8(499)-755-23-23 вн.052-126</w:t>
      </w:r>
    </w:p>
    <w:sectPr>
      <w:pgSz w:w="11906" w:h="16838"/>
      <w:pgMar w:top="512" w:left="4134" w:right="4110" w:bottom="1488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2"/>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2"/>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2"/>
    </w:rPr>
  </w:style>
  <w:style w:type="character" w:customStyle="1" w:styleId="CharStyle5">
    <w:name w:val="Основной текст (3) Exact"/>
    <w:basedOn w:val="CharStyle10"/>
    <w:rPr>
      <w:sz w:val="17"/>
      <w:szCs w:val="17"/>
      <w:spacing w:val="2"/>
    </w:rPr>
  </w:style>
  <w:style w:type="character" w:customStyle="1" w:styleId="CharStyle7">
    <w:name w:val="Основной текст (2)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2)"/>
    <w:basedOn w:val="CharStyle7"/>
    <w:rPr>
      <w:lang w:val="ru-RU" w:eastAsia="ru-RU" w:bidi="ru-RU"/>
      <w:u w:val="single"/>
      <w:w w:val="100"/>
      <w:spacing w:val="0"/>
      <w:color w:val="000000"/>
      <w:position w:val="0"/>
    </w:rPr>
  </w:style>
  <w:style w:type="character" w:customStyle="1" w:styleId="CharStyle10">
    <w:name w:val="Основной текст (3)_"/>
    <w:basedOn w:val="DefaultParagraphFont"/>
    <w:link w:val="Style3"/>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en-US" w:eastAsia="en-US" w:bidi="en-US"/>
      <w:u w:val="single"/>
      <w:w w:val="100"/>
      <w:spacing w:val="0"/>
      <w:color w:val="000000"/>
      <w:position w:val="0"/>
    </w:rPr>
  </w:style>
  <w:style w:type="character" w:customStyle="1" w:styleId="CharStyle14">
    <w:name w:val="Заголовок №1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4)_"/>
    <w:basedOn w:val="DefaultParagraphFont"/>
    <w:link w:val="Style15"/>
    <w:rPr>
      <w:b w:val="0"/>
      <w:bCs w:val="0"/>
      <w:i w:val="0"/>
      <w:iCs w:val="0"/>
      <w:u w:val="none"/>
      <w:strike w:val="0"/>
      <w:smallCaps w:val="0"/>
      <w:sz w:val="12"/>
      <w:szCs w:val="12"/>
      <w:rFonts w:ascii="Times New Roman" w:eastAsia="Times New Roman" w:hAnsi="Times New Roman" w:cs="Times New Roman"/>
    </w:rPr>
  </w:style>
  <w:style w:type="character" w:customStyle="1" w:styleId="CharStyle17">
    <w:name w:val="Основной текст (4)"/>
    <w:basedOn w:val="CharStyle16"/>
    <w:rPr>
      <w:lang w:val="ru-RU" w:eastAsia="ru-RU" w:bidi="ru-RU"/>
      <w:w w:val="100"/>
      <w:spacing w:val="0"/>
      <w:color w:val="000000"/>
      <w:position w:val="0"/>
    </w:rPr>
  </w:style>
  <w:style w:type="character" w:customStyle="1" w:styleId="CharStyle19">
    <w:name w:val="Основной текст (5)_"/>
    <w:basedOn w:val="DefaultParagraphFont"/>
    <w:link w:val="Style18"/>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_"/>
    <w:basedOn w:val="DefaultParagraphFont"/>
    <w:link w:val="Style20"/>
    <w:rPr>
      <w:b w:val="0"/>
      <w:bCs w:val="0"/>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6)_"/>
    <w:basedOn w:val="DefaultParagraphFont"/>
    <w:link w:val="Style22"/>
    <w:rPr>
      <w:b/>
      <w:bCs/>
      <w:i w:val="0"/>
      <w:iCs w:val="0"/>
      <w:u w:val="none"/>
      <w:strike w:val="0"/>
      <w:smallCaps w:val="0"/>
      <w:sz w:val="22"/>
      <w:szCs w:val="22"/>
      <w:rFonts w:ascii="Times New Roman" w:eastAsia="Times New Roman" w:hAnsi="Times New Roman" w:cs="Times New Roman"/>
    </w:rPr>
  </w:style>
  <w:style w:type="character" w:customStyle="1" w:styleId="CharStyle2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26">
    <w:name w:val="Штрих-код (2)_"/>
    <w:basedOn w:val="DefaultParagraphFont"/>
    <w:link w:val="Style25"/>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7">
    <w:name w:val="Основной текст (6) + Интервал 3 pt"/>
    <w:basedOn w:val="CharStyle23"/>
    <w:rPr>
      <w:lang w:val="ru-RU" w:eastAsia="ru-RU" w:bidi="ru-RU"/>
      <w:w w:val="100"/>
      <w:spacing w:val="60"/>
      <w:color w:val="000000"/>
      <w:position w:val="0"/>
    </w:rPr>
  </w:style>
  <w:style w:type="character" w:customStyle="1" w:styleId="CharStyle29">
    <w:name w:val="Заголовок №2_"/>
    <w:basedOn w:val="DefaultParagraphFont"/>
    <w:link w:val="Style28"/>
    <w:rPr>
      <w:b/>
      <w:bCs/>
      <w:i w:val="0"/>
      <w:iCs w:val="0"/>
      <w:u w:val="none"/>
      <w:strike w:val="0"/>
      <w:smallCaps w:val="0"/>
      <w:sz w:val="22"/>
      <w:szCs w:val="22"/>
      <w:rFonts w:ascii="Times New Roman" w:eastAsia="Times New Roman" w:hAnsi="Times New Roman" w:cs="Times New Roman"/>
    </w:rPr>
  </w:style>
  <w:style w:type="character" w:customStyle="1" w:styleId="CharStyle31">
    <w:name w:val="Основной текст (7)_"/>
    <w:basedOn w:val="DefaultParagraphFont"/>
    <w:link w:val="Style30"/>
    <w:rPr>
      <w:b w:val="0"/>
      <w:bCs w:val="0"/>
      <w:i/>
      <w:iCs/>
      <w:u w:val="none"/>
      <w:strike w:val="0"/>
      <w:smallCaps w:val="0"/>
      <w:sz w:val="23"/>
      <w:szCs w:val="23"/>
      <w:rFonts w:ascii="Times New Roman" w:eastAsia="Times New Roman" w:hAnsi="Times New Roman" w:cs="Times New Roman"/>
    </w:rPr>
  </w:style>
  <w:style w:type="paragraph" w:customStyle="1" w:styleId="Style3">
    <w:name w:val="Основной текст (3)"/>
    <w:basedOn w:val="Normal"/>
    <w:link w:val="CharStyle10"/>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both"/>
      <w:outlineLvl w:val="0"/>
      <w:spacing w:before="180"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center"/>
      <w:spacing w:before="360" w:line="0" w:lineRule="exact"/>
    </w:pPr>
    <w:rPr>
      <w:b w:val="0"/>
      <w:bCs w:val="0"/>
      <w:i w:val="0"/>
      <w:iCs w:val="0"/>
      <w:u w:val="none"/>
      <w:strike w:val="0"/>
      <w:smallCaps w:val="0"/>
      <w:sz w:val="12"/>
      <w:szCs w:val="12"/>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spacing w:after="30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both"/>
      <w:spacing w:line="274" w:lineRule="exact"/>
      <w:ind w:hanging="220"/>
    </w:pPr>
    <w:rPr>
      <w:b w:val="0"/>
      <w:bCs w:val="0"/>
      <w:i w:val="0"/>
      <w:iCs w:val="0"/>
      <w:u w:val="none"/>
      <w:strike w:val="0"/>
      <w:smallCaps w:val="0"/>
      <w:sz w:val="22"/>
      <w:szCs w:val="22"/>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jc w:val="center"/>
      <w:spacing w:line="288" w:lineRule="exact"/>
    </w:pPr>
    <w:rPr>
      <w:b/>
      <w:bCs/>
      <w:i w:val="0"/>
      <w:iCs w:val="0"/>
      <w:u w:val="none"/>
      <w:strike w:val="0"/>
      <w:smallCaps w:val="0"/>
      <w:sz w:val="22"/>
      <w:szCs w:val="22"/>
      <w:rFonts w:ascii="Times New Roman" w:eastAsia="Times New Roman" w:hAnsi="Times New Roman" w:cs="Times New Roman"/>
    </w:rPr>
  </w:style>
  <w:style w:type="paragraph" w:customStyle="1" w:styleId="Style25">
    <w:name w:val="Штрих-код (2)"/>
    <w:basedOn w:val="Normal"/>
    <w:link w:val="CharStyle26"/>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8">
    <w:name w:val="Заголовок №2"/>
    <w:basedOn w:val="Normal"/>
    <w:link w:val="CharStyle29"/>
    <w:pPr>
      <w:widowControl w:val="0"/>
      <w:shd w:val="clear" w:color="auto" w:fill="FFFFFF"/>
      <w:outlineLvl w:val="1"/>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jc w:val="both"/>
      <w:spacing w:before="600" w:line="274" w:lineRule="exact"/>
      <w:ind w:firstLine="84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