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48" w:line="260" w:lineRule="exact"/>
        <w:ind w:left="5320" w:right="0" w:firstLine="0"/>
      </w:pPr>
      <w:r>
        <w:rPr>
          <w:lang w:val="ru-RU" w:eastAsia="ru-RU" w:bidi="ru-RU"/>
          <w:w w:val="100"/>
          <w:spacing w:val="0"/>
          <w:color w:val="000000"/>
          <w:position w:val="0"/>
        </w:rPr>
        <w:t>ГБУЗ «Морозовская ДГКБ ДЗМ»</w:t>
      </w:r>
    </w:p>
    <w:p>
      <w:pPr>
        <w:pStyle w:val="Style5"/>
        <w:widowControl w:val="0"/>
        <w:keepNext w:val="0"/>
        <w:keepLines w:val="0"/>
        <w:shd w:val="clear" w:color="auto" w:fill="auto"/>
        <w:bidi w:val="0"/>
        <w:jc w:val="left"/>
        <w:spacing w:before="0" w:after="240" w:line="322" w:lineRule="exact"/>
        <w:ind w:left="5320" w:right="780" w:firstLine="0"/>
      </w:pPr>
      <w:r>
        <w:rPr>
          <w:lang w:val="ru-RU" w:eastAsia="ru-RU" w:bidi="ru-RU"/>
          <w:w w:val="100"/>
          <w:spacing w:val="0"/>
          <w:color w:val="000000"/>
          <w:position w:val="0"/>
        </w:rPr>
        <w:t xml:space="preserve">4-й Добрынинский пер., д. 1/9, г. Москва, 119049, </w:t>
      </w:r>
      <w:r>
        <w:fldChar w:fldCharType="begin"/>
      </w:r>
      <w:r>
        <w:rPr>
          <w:color w:val="000000"/>
        </w:rPr>
        <w:instrText> HYPERLINK "mailto:mordgkb@mail.ru" </w:instrText>
      </w:r>
      <w:r>
        <w:fldChar w:fldCharType="separate"/>
      </w:r>
      <w:r>
        <w:rPr>
          <w:rStyle w:val="Hyperlink"/>
          <w:lang w:val="en-US" w:eastAsia="en-US" w:bidi="en-US"/>
          <w:w w:val="100"/>
          <w:spacing w:val="0"/>
          <w:position w:val="0"/>
        </w:rPr>
        <w:t>mordgkb@mail.ru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5"/>
        <w:widowControl w:val="0"/>
        <w:keepNext w:val="0"/>
        <w:keepLines w:val="0"/>
        <w:shd w:val="clear" w:color="auto" w:fill="auto"/>
        <w:bidi w:val="0"/>
        <w:jc w:val="left"/>
        <w:spacing w:before="0" w:after="240" w:line="322" w:lineRule="exact"/>
        <w:ind w:left="5320" w:right="780" w:firstLine="0"/>
      </w:pPr>
      <w:r>
        <w:rPr>
          <w:lang w:val="ru-RU" w:eastAsia="ru-RU" w:bidi="ru-RU"/>
          <w:w w:val="100"/>
          <w:spacing w:val="0"/>
          <w:color w:val="000000"/>
          <w:position w:val="0"/>
        </w:rPr>
        <w:t>ООО «Центр подрядных торгов в строительстве»</w:t>
      </w:r>
    </w:p>
    <w:p>
      <w:pPr>
        <w:pStyle w:val="Style5"/>
        <w:widowControl w:val="0"/>
        <w:keepNext w:val="0"/>
        <w:keepLines w:val="0"/>
        <w:shd w:val="clear" w:color="auto" w:fill="auto"/>
        <w:bidi w:val="0"/>
        <w:jc w:val="left"/>
        <w:spacing w:before="0" w:after="236" w:line="322" w:lineRule="exact"/>
        <w:ind w:left="5320" w:right="240" w:firstLine="0"/>
      </w:pPr>
      <w:r>
        <w:rPr>
          <w:lang w:val="ru-RU" w:eastAsia="ru-RU" w:bidi="ru-RU"/>
          <w:w w:val="100"/>
          <w:spacing w:val="0"/>
          <w:color w:val="000000"/>
          <w:position w:val="0"/>
        </w:rPr>
        <w:t xml:space="preserve">Киевское ш., 22-й км, домовл. 3, стр. 1, пос. Московский, г. Москва, 108811, </w:t>
      </w:r>
      <w:r>
        <w:fldChar w:fldCharType="begin"/>
      </w:r>
      <w:r>
        <w:rPr>
          <w:color w:val="000000"/>
        </w:rPr>
        <w:instrText> HYPERLINK "mailto:cptc@cptc.ru" </w:instrText>
      </w:r>
      <w:r>
        <w:fldChar w:fldCharType="separate"/>
      </w:r>
      <w:r>
        <w:rPr>
          <w:rStyle w:val="Hyperlink"/>
          <w:lang w:val="en-US" w:eastAsia="en-US" w:bidi="en-US"/>
          <w:w w:val="100"/>
          <w:spacing w:val="0"/>
          <w:position w:val="0"/>
        </w:rPr>
        <w:t>cptc@cptc.ru</w:t>
      </w:r>
      <w:r>
        <w:fldChar w:fldCharType="end"/>
      </w:r>
    </w:p>
    <w:p>
      <w:pPr>
        <w:pStyle w:val="Style5"/>
        <w:widowControl w:val="0"/>
        <w:keepNext w:val="0"/>
        <w:keepLines w:val="0"/>
        <w:shd w:val="clear" w:color="auto" w:fill="auto"/>
        <w:bidi w:val="0"/>
        <w:jc w:val="left"/>
        <w:spacing w:before="0" w:after="240" w:line="326" w:lineRule="exact"/>
        <w:ind w:left="5320" w:right="240" w:firstLine="0"/>
      </w:pPr>
      <w:r>
        <w:rPr>
          <w:lang w:val="ru-RU" w:eastAsia="ru-RU" w:bidi="ru-RU"/>
          <w:w w:val="100"/>
          <w:spacing w:val="0"/>
          <w:color w:val="000000"/>
          <w:position w:val="0"/>
        </w:rPr>
        <w:t>АО «Единая электронная торговая площадка»</w:t>
      </w:r>
    </w:p>
    <w:p>
      <w:pPr>
        <w:pStyle w:val="Style5"/>
        <w:widowControl w:val="0"/>
        <w:keepNext w:val="0"/>
        <w:keepLines w:val="0"/>
        <w:shd w:val="clear" w:color="auto" w:fill="auto"/>
        <w:bidi w:val="0"/>
        <w:jc w:val="left"/>
        <w:spacing w:before="0" w:after="1415" w:line="326" w:lineRule="exact"/>
        <w:ind w:left="5320" w:right="240" w:firstLine="0"/>
      </w:pPr>
      <w:r>
        <w:rPr>
          <w:lang w:val="ru-RU" w:eastAsia="ru-RU" w:bidi="ru-RU"/>
          <w:w w:val="100"/>
          <w:spacing w:val="0"/>
          <w:color w:val="000000"/>
          <w:position w:val="0"/>
        </w:rPr>
        <w:t>117312, г. Москва, пр. 60-я Октября, д. 9</w:t>
      </w:r>
    </w:p>
    <w:p>
      <w:pPr>
        <w:pStyle w:val="Style7"/>
        <w:tabs>
          <w:tab w:leader="none" w:pos="8886" w:val="lef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 077/06/106-2362/2021 о нарушении законодательства о контрактной системе 15.02.2021</w:t>
        <w:tab/>
        <w:t>г. 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А.С. Спиряковой,</w:t>
      </w:r>
    </w:p>
    <w:p>
      <w:pPr>
        <w:pStyle w:val="Style5"/>
        <w:tabs>
          <w:tab w:leader="none" w:pos="4881" w:val="right"/>
          <w:tab w:leader="none" w:pos="5452" w:val="left"/>
        </w:tabs>
        <w:widowControl w:val="0"/>
        <w:keepNext w:val="0"/>
        <w:keepLines w:val="0"/>
        <w:shd w:val="clear" w:color="auto" w:fill="auto"/>
        <w:bidi w:val="0"/>
        <w:jc w:val="both"/>
        <w:spacing w:before="0" w:after="0" w:line="288" w:lineRule="exact"/>
        <w:ind w:left="20" w:right="0" w:firstLine="560"/>
      </w:pPr>
      <w:r>
        <w:rPr>
          <w:lang w:val="ru-RU" w:eastAsia="ru-RU" w:bidi="ru-RU"/>
          <w:w w:val="100"/>
          <w:spacing w:val="0"/>
          <w:color w:val="000000"/>
          <w:position w:val="0"/>
        </w:rPr>
        <w:t>Члена Комиссии:</w:t>
        <w:tab/>
        <w:t>Ведущего</w:t>
        <w:tab/>
        <w:t>специалиста-эксперта обжалования</w:t>
      </w:r>
    </w:p>
    <w:p>
      <w:pPr>
        <w:pStyle w:val="Style5"/>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государственных закупок А.А. Кутейникова,</w:t>
      </w:r>
    </w:p>
    <w:p>
      <w:pPr>
        <w:pStyle w:val="Style5"/>
        <w:tabs>
          <w:tab w:leader="none" w:pos="1753" w:val="left"/>
          <w:tab w:leader="none" w:pos="5660"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рассмотрение жалобы проводилось дистанционно (посредством конференц</w:t>
        <w:softHyphen/>
        <w:t>связи) в</w:t>
        <w:tab/>
        <w:t>целях исполнения Указа</w:t>
        <w:tab/>
        <w:t>Мэра Москвы от 25.09.2020</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349" w:h="427" w:wrap="around" w:vAnchor="text" w:hAnchor="margin" w:x="354" w:y="67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000827454258</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при участии представителей ГБУЗ «Морозовская ДГКБ ДЗМ», ООО «Центр</w:t>
      </w:r>
      <w:r>
        <w:br w:type="page"/>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подрядных торгов в строительстве»,</w:t>
      </w:r>
    </w:p>
    <w:p>
      <w:pPr>
        <w:pStyle w:val="Style5"/>
        <w:widowControl w:val="0"/>
        <w:keepNext w:val="0"/>
        <w:keepLines w:val="0"/>
        <w:shd w:val="clear" w:color="auto" w:fill="auto"/>
        <w:bidi w:val="0"/>
        <w:jc w:val="both"/>
        <w:spacing w:before="0" w:after="349" w:line="322" w:lineRule="exact"/>
        <w:ind w:left="20" w:right="20" w:firstLine="560"/>
      </w:pPr>
      <w:r>
        <w:rPr>
          <w:lang w:val="ru-RU" w:eastAsia="ru-RU" w:bidi="ru-RU"/>
          <w:w w:val="100"/>
          <w:spacing w:val="0"/>
          <w:color w:val="000000"/>
          <w:position w:val="0"/>
        </w:rPr>
        <w:t>рассмотрев жалобу ООО «Центр подрядных торгов в строительстве» (далее — Заявитель) на действия ГБУЗ «Морозовская ДГКБ ДЗМ» (далее-Заказчик) при проведении электронного аукциона на право заключения государственного контракта на поставку расходных медицинских материалов для отделения трансфузиологии для нужд ГБУЗ «Морозовская ДГКБ ДЗМ» (Закупка № 0373200099721000112)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регламентом, утвержденным приказом ФАС России от 19.11.2014 №727/14,</w:t>
      </w:r>
    </w:p>
    <w:p>
      <w:pPr>
        <w:pStyle w:val="Style9"/>
        <w:widowControl w:val="0"/>
        <w:keepNext/>
        <w:keepLines/>
        <w:shd w:val="clear" w:color="auto" w:fill="auto"/>
        <w:bidi w:val="0"/>
        <w:jc w:val="left"/>
        <w:spacing w:before="0" w:after="308" w:line="260" w:lineRule="exact"/>
        <w:ind w:left="43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Заявитель обжалует действия Заказчика, выразившиеся в установлении положений аукционной документации в нарушение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10.02.2021 №ЕИ/7345/21.</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5"/>
        <w:numPr>
          <w:ilvl w:val="0"/>
          <w:numId w:val="1"/>
        </w:numPr>
        <w:tabs>
          <w:tab w:leader="none" w:pos="952"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w:t>
      </w:r>
      <w:r>
        <w:rPr>
          <w:rStyle w:val="CharStyle11"/>
        </w:rPr>
        <w:t>ши</w:t>
      </w:r>
      <w:r>
        <w:rPr>
          <w:lang w:val="ru-RU" w:eastAsia="ru-RU" w:bidi="ru-RU"/>
          <w:w w:val="100"/>
          <w:spacing w:val="0"/>
          <w:color w:val="000000"/>
          <w:position w:val="0"/>
        </w:rPr>
        <w:t>ны и оборудование;</w:t>
      </w:r>
    </w:p>
    <w:p>
      <w:pPr>
        <w:pStyle w:val="Style5"/>
        <w:numPr>
          <w:ilvl w:val="0"/>
          <w:numId w:val="1"/>
        </w:numPr>
        <w:tabs>
          <w:tab w:leader="none" w:pos="1008" w:val="left"/>
        </w:tabs>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numPr>
          <w:ilvl w:val="0"/>
          <w:numId w:val="3"/>
        </w:numPr>
        <w:tabs>
          <w:tab w:leader="none" w:pos="1008" w:val="left"/>
        </w:tabs>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Согласно доводам жалобы Заявителя в аукционной документации установлены коды ОКПД2 для закупаемых товаров не в соответствии с каталогом товаров, работ, услуг для обеспечения государственных и муниципальных нужд (далее — КТРУ), в частности, п.1 «Раствор для консервирования крови, содержащий антикоагулянт», п.3 «Раствор для консервирования крови, содержащий антикоагулянт» - код КТРУ 32.50.13.190 «Инструменты и приспособления, применяемые в медицинских целях, прочие, не включенные в другие группировки», поскольку с учетом наименования данных медицинских изделий, согласно КТРУ, должен быть установлен следующий код КТРУ —</w:t>
      </w:r>
    </w:p>
    <w:p>
      <w:pPr>
        <w:pStyle w:val="Style5"/>
        <w:numPr>
          <w:ilvl w:val="0"/>
          <w:numId w:val="5"/>
        </w:numPr>
        <w:tabs>
          <w:tab w:leader="none" w:pos="7110"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00000011 «Раствор для консервирования крови, содержащий антикоагулянт», соответствующий коду ОКПД2:</w:t>
        <w:tab/>
        <w:t>21.20.23.199 «Средства нелечебные прочие».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Вместе с тем вышеуказанное нарушение повлекло неправомерное объединение в один лот товаров, включенных в перечень отдельных видов медицинских изделий, происходящих из иностранных государств (Перечень №1), в отношении которых устанавливаются ограничения допуска в соответствии с положениями постановления Правительства Российской Федерации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Правительства№102) и не включенных в него.</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ч.4 ст.23 Закона о контрактной системе наименование объекта закупки в случаях, предусмотренных Законом о контрактной системе, указывается в соответствии с каталогом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п.10 ст.42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Комиссией Управления установлено, что в соответствии с КТРУ код</w:t>
      </w:r>
    </w:p>
    <w:p>
      <w:pPr>
        <w:pStyle w:val="Style5"/>
        <w:numPr>
          <w:ilvl w:val="0"/>
          <w:numId w:val="7"/>
        </w:numPr>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00000011 однозначно указывает на «Раствор для консервирования крови, содержащий антикоагулянт», относящиеся к коду ОКПД2: 21.20.23.199, не включенного в Перечень №1, утвержденный Постановлением Правительства №102.</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При этом согласно постановлению Правительства №102 при применении перечня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следует руководствоваться 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Вместе с тем наряду с поставкой товаров, относящихся к коду ОКПД2: 32.50.13.190 и включенных в вышеуказанный Перечень, Заказчику необходимы к поставке растворы для консервирования крови, содержащий антикоагулянт, код ОКПД2: 21.20.23.199, не относящийся к товарам из Перечня №1, утвержденного Постановлением Правительства №102.</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П.2(2) Постановления Правительства №102 указывает на то, что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 1 и не включенные в него.</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Также в составе жалобы Заявитель указывает, что Заказчиком по товару п. 1 «Раствор для консервирования крови, содержащий антикоагулянт» установлены следующие требования:</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Стерильно: Соответствует;</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Апирогенно: Соответствует;</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Объем: &gt; 400 и &lt; 600 мл;</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Цитрат Натрия 3,18 г: 3,18±0,02 г;</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Динатрийфосфат; 3,05±0,02 г;</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Натрий Дигидрогенофосфат: 1,05±0,02 г;</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Натрий Ацетат: 4,42±0,02 г;</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Натрий Хлорид: 4,52±0,02 г;</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Вода для инъекций: &gt;1000 мл;</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Порт по типу мейл-луер-лок: Наличие;</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Остаточный срок стерильности на момент поставки товара: Не менее 22 мес;</w:t>
      </w:r>
    </w:p>
    <w:p>
      <w:pPr>
        <w:pStyle w:val="Style5"/>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Остаточный срок годности на момент поставки товара: Не менее 22 мес;</w:t>
      </w:r>
    </w:p>
    <w:p>
      <w:pPr>
        <w:pStyle w:val="Style5"/>
        <w:tabs>
          <w:tab w:leader="none" w:pos="4166" w:val="right"/>
          <w:tab w:leader="none" w:pos="4338" w:val="left"/>
        </w:tabs>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Упаковка:</w:t>
        <w:tab/>
        <w:t>индивидуальная,</w:t>
        <w:tab/>
        <w:t>обеспечивающая стерильность. Наличие.</w:t>
      </w:r>
    </w:p>
    <w:p>
      <w:pPr>
        <w:pStyle w:val="Style5"/>
        <w:widowControl w:val="0"/>
        <w:keepNext w:val="0"/>
        <w:keepLines w:val="0"/>
        <w:shd w:val="clear" w:color="auto" w:fill="auto"/>
        <w:bidi w:val="0"/>
        <w:jc w:val="both"/>
        <w:spacing w:before="0" w:after="0" w:line="302" w:lineRule="exact"/>
        <w:ind w:left="20" w:right="20" w:firstLine="560"/>
      </w:pPr>
      <w:r>
        <w:rPr>
          <w:lang w:val="ru-RU" w:eastAsia="ru-RU" w:bidi="ru-RU"/>
          <w:w w:val="100"/>
          <w:spacing w:val="0"/>
          <w:color w:val="000000"/>
          <w:position w:val="0"/>
        </w:rPr>
        <w:t xml:space="preserve">В то же время исходя из описания товара Заказчику фактически требуется «Раствор для хранения тромбоцитов», который относится к коду КТРУ 21.20.23.199 и имеет следующее описание: «Жидкость, используемая для частичной замены плазмы для приготовления и хранения концентратов тромбоцитов из лейкоцитарной пленки и тромбоцитов для афереза. Обычно в состав входит несколько соединений [например, натрия хлорид </w:t>
      </w:r>
      <w:r>
        <w:rPr>
          <w:lang w:val="en-US" w:eastAsia="en-US" w:bidi="en-US"/>
          <w:w w:val="100"/>
          <w:spacing w:val="0"/>
          <w:color w:val="000000"/>
          <w:position w:val="0"/>
        </w:rPr>
        <w:t xml:space="preserve">(NaCl), </w:t>
      </w:r>
      <w:r>
        <w:rPr>
          <w:lang w:val="ru-RU" w:eastAsia="ru-RU" w:bidi="ru-RU"/>
          <w:w w:val="100"/>
          <w:spacing w:val="0"/>
          <w:color w:val="000000"/>
          <w:position w:val="0"/>
        </w:rPr>
        <w:t xml:space="preserve">натрия цитрат (Ка3-цитрат), калия хлорид </w:t>
      </w:r>
      <w:r>
        <w:rPr>
          <w:lang w:val="en-US" w:eastAsia="en-US" w:bidi="en-US"/>
          <w:w w:val="100"/>
          <w:spacing w:val="0"/>
          <w:color w:val="000000"/>
          <w:position w:val="0"/>
        </w:rPr>
        <w:t xml:space="preserve">(KCl), </w:t>
      </w:r>
      <w:r>
        <w:rPr>
          <w:lang w:val="ru-RU" w:eastAsia="ru-RU" w:bidi="ru-RU"/>
          <w:w w:val="100"/>
          <w:spacing w:val="0"/>
          <w:color w:val="000000"/>
          <w:position w:val="0"/>
        </w:rPr>
        <w:t xml:space="preserve">магния хлорид </w:t>
      </w:r>
      <w:r>
        <w:rPr>
          <w:lang w:val="en-US" w:eastAsia="en-US" w:bidi="en-US"/>
          <w:w w:val="100"/>
          <w:spacing w:val="0"/>
          <w:color w:val="000000"/>
          <w:position w:val="0"/>
        </w:rPr>
        <w:t xml:space="preserve">(MgCl2)] </w:t>
      </w:r>
      <w:r>
        <w:rPr>
          <w:lang w:val="ru-RU" w:eastAsia="ru-RU" w:bidi="ru-RU"/>
          <w:w w:val="100"/>
          <w:spacing w:val="0"/>
          <w:color w:val="000000"/>
          <w:position w:val="0"/>
        </w:rPr>
        <w:t>для поддержания оптимального уровня рН и минимизации агрегации тромбоцитов при комнатной температуре. Поставляется в контейнере (например, полипропиленовом пакете) и не предназначается для прямых внутривенных (IV) вливаний. Это изделие для одноразового использования».</w:t>
      </w:r>
    </w:p>
    <w:p>
      <w:pPr>
        <w:pStyle w:val="Style5"/>
        <w:widowControl w:val="0"/>
        <w:keepNext w:val="0"/>
        <w:keepLines w:val="0"/>
        <w:shd w:val="clear" w:color="auto" w:fill="auto"/>
        <w:bidi w:val="0"/>
        <w:jc w:val="both"/>
        <w:spacing w:before="0" w:after="0" w:line="302" w:lineRule="exact"/>
        <w:ind w:left="20" w:right="20" w:firstLine="560"/>
      </w:pPr>
      <w:r>
        <w:rPr>
          <w:lang w:val="ru-RU" w:eastAsia="ru-RU" w:bidi="ru-RU"/>
          <w:w w:val="100"/>
          <w:spacing w:val="0"/>
          <w:color w:val="000000"/>
          <w:position w:val="0"/>
        </w:rPr>
        <w:t>Таким образом в нарушение правил КТРУ Заказчиком установлено иное описание товара.</w:t>
      </w:r>
    </w:p>
    <w:p>
      <w:pPr>
        <w:pStyle w:val="Style5"/>
        <w:widowControl w:val="0"/>
        <w:keepNext w:val="0"/>
        <w:keepLines w:val="0"/>
        <w:shd w:val="clear" w:color="auto" w:fill="auto"/>
        <w:bidi w:val="0"/>
        <w:jc w:val="both"/>
        <w:spacing w:before="0" w:after="0" w:line="302" w:lineRule="exact"/>
        <w:ind w:left="20" w:right="20" w:firstLine="56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В соответствии с п.6 Правил использования КТРУ в случае предоставления иной и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На заседании Комиссии Управления представитель Заказчика пояснил, что в соответствии с пунктом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w:t>
      </w:r>
      <w:r>
        <w:rPr>
          <w:lang w:val="ru-RU" w:eastAsia="ru-RU" w:bidi="ru-RU"/>
          <w:w w:val="100"/>
          <w:spacing w:val="0"/>
          <w:color w:val="000000"/>
          <w:position w:val="0"/>
        </w:rPr>
        <w:t xml:space="preserve"> статьи 33 </w:t>
      </w:r>
      <w:r>
        <w:rPr>
          <w:lang w:val="ru-RU" w:eastAsia="ru-RU" w:bidi="ru-RU"/>
          <w:w w:val="100"/>
          <w:spacing w:val="0"/>
          <w:color w:val="000000"/>
          <w:position w:val="0"/>
        </w:rPr>
        <w:t>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По мнению Заказчика «Раствор для консервирования крови, содержащий антикоагулянт» не включен в КТРУ, а включенные в КТРУ позиции не соответствуют функциональным и техническим характеристикам закупаемых товаров, поэтому при описании объекта закупки не использовано соответствующая позиция КТРУ. Заказчик при описании объекта закупки руководствовался правилами ст. 33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При этом указанные Заявителем коды КТРУ не могут быть применены Заказчиком, так как они не соответствуют потребности Заказчика.</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Комиссия Управления отмечает, что согласно п. 4 Правил Заказчики обязаны применять информацию, включенную в позицию каталога, таким образом с учетом прямого указания в каталоге на такой товар как «Раствор для консервирования крови, содержащий антикоагулянт» код КТРУ 21.20.23.199-00000011 Заказчиком закупаются товары относящиеся к коду ОКПД2 21.20.23.199 «Средства нелечебные прочие», который не включен в Постановление Правительства №102. Одновременно с этим Комиссия Управления отмечает, что исходя из положений п. 5 и 6 Правил Заказчик вправе указать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требуемого товара при включении в описание товара обоснования необходимости использования такой информации. Вместе с тем Заказчиком не размещено обоснование использования иных характеристик при описании товара.</w:t>
      </w:r>
    </w:p>
    <w:p>
      <w:pPr>
        <w:pStyle w:val="Style5"/>
        <w:widowControl w:val="0"/>
        <w:keepNext w:val="0"/>
        <w:keepLines w:val="0"/>
        <w:shd w:val="clear" w:color="auto" w:fill="auto"/>
        <w:bidi w:val="0"/>
        <w:jc w:val="both"/>
        <w:spacing w:before="0" w:after="0" w:line="302" w:lineRule="exact"/>
        <w:ind w:left="0" w:right="20" w:firstLine="56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положений п.1 ч.1 ст.33, ч.3 ст. 14 Закона о контрактной системе при выборе кода ОКПД2 отличным от установленного в КТРУ, что повлекло к неправомерному объединению в один лот товаров, включенных Перечень №1, в отношении которых устанавливаются ограничения допуска в соответствии с положениями Постановления Правительства №102 и не включенных в него, а также нарушении Заказчиком положений п.1 ч.1 ст.33 Закона о контрактной системе, при описании закупаемого товара.</w:t>
      </w:r>
    </w:p>
    <w:p>
      <w:pPr>
        <w:pStyle w:val="Style5"/>
        <w:numPr>
          <w:ilvl w:val="0"/>
          <w:numId w:val="3"/>
        </w:numPr>
        <w:tabs>
          <w:tab w:leader="none" w:pos="1090" w:val="left"/>
        </w:tabs>
        <w:widowControl w:val="0"/>
        <w:keepNext w:val="0"/>
        <w:keepLines w:val="0"/>
        <w:shd w:val="clear" w:color="auto" w:fill="auto"/>
        <w:bidi w:val="0"/>
        <w:jc w:val="both"/>
        <w:spacing w:before="0" w:after="0" w:line="302" w:lineRule="exact"/>
        <w:ind w:left="0" w:right="20" w:firstLine="560"/>
      </w:pPr>
      <w:r>
        <w:rPr>
          <w:lang w:val="ru-RU" w:eastAsia="ru-RU" w:bidi="ru-RU"/>
          <w:w w:val="100"/>
          <w:spacing w:val="0"/>
          <w:color w:val="000000"/>
          <w:position w:val="0"/>
        </w:rPr>
        <w:t>Согласно доводам жалобы Заказчик объединил в один лот позиции различных производителей и позиции выпускаемые единственным производителем - «Гемонетикс Корпорейшн, США».</w:t>
      </w:r>
    </w:p>
    <w:p>
      <w:pPr>
        <w:pStyle w:val="Style5"/>
        <w:tabs>
          <w:tab w:leader="none" w:pos="1603" w:val="left"/>
        </w:tabs>
        <w:widowControl w:val="0"/>
        <w:keepNext w:val="0"/>
        <w:keepLines w:val="0"/>
        <w:shd w:val="clear" w:color="auto" w:fill="auto"/>
        <w:bidi w:val="0"/>
        <w:jc w:val="both"/>
        <w:spacing w:before="0" w:after="0" w:line="302" w:lineRule="exact"/>
        <w:ind w:left="0" w:right="20" w:firstLine="560"/>
      </w:pPr>
      <w:r>
        <w:rPr>
          <w:lang w:val="ru-RU" w:eastAsia="ru-RU" w:bidi="ru-RU"/>
          <w:w w:val="100"/>
          <w:spacing w:val="0"/>
          <w:color w:val="000000"/>
          <w:position w:val="0"/>
        </w:rPr>
        <w:t xml:space="preserve">Так в п.2 «Набор/сет расходных материалов для аппарата донорского тромбоцитафереза», п. 4 «Комплект магистралей для аппарата донорского плазмафереза (Набор трубок для системы афереза), п. 5 «Колокол для аппарата донорского плазмафереза (Камера сепарационная для автоматического афереза)», п. 6 «Набор контейнеров для аппарата донорского плазмафереза (Набор контейнеров для аппарата донорского плазмафереза, однокамерный)» установлено требование «Совместимость с аппаратами </w:t>
      </w:r>
      <w:r>
        <w:rPr>
          <w:lang w:val="en-US" w:eastAsia="en-US" w:bidi="en-US"/>
          <w:w w:val="100"/>
          <w:spacing w:val="0"/>
          <w:color w:val="000000"/>
          <w:position w:val="0"/>
        </w:rPr>
        <w:t xml:space="preserve">PCS-2/MCS+: </w:t>
      </w:r>
      <w:r>
        <w:rPr>
          <w:lang w:val="ru-RU" w:eastAsia="ru-RU" w:bidi="ru-RU"/>
          <w:w w:val="100"/>
          <w:spacing w:val="0"/>
          <w:color w:val="000000"/>
          <w:position w:val="0"/>
        </w:rPr>
        <w:t>Наличие». Вышеперечисленные расходные материалы согласно регистрационным удостоверениям на медицинские изделия от 25.02.2016 № РЗН 2016/3763, от 07.06.2016 № ФСЗ 2011/09569, от 28.08.2017</w:t>
        <w:tab/>
        <w:t>№ РЗН 2015/3191 соответствуют Аппарату автоматического</w:t>
      </w:r>
    </w:p>
    <w:p>
      <w:pPr>
        <w:pStyle w:val="Style5"/>
        <w:widowControl w:val="0"/>
        <w:keepNext w:val="0"/>
        <w:keepLines w:val="0"/>
        <w:shd w:val="clear" w:color="auto" w:fill="auto"/>
        <w:bidi w:val="0"/>
        <w:jc w:val="both"/>
        <w:spacing w:before="0" w:after="0" w:line="302" w:lineRule="exact"/>
        <w:ind w:left="0" w:right="0" w:firstLine="0"/>
      </w:pPr>
      <w:r>
        <w:rPr>
          <w:lang w:val="ru-RU" w:eastAsia="ru-RU" w:bidi="ru-RU"/>
          <w:w w:val="100"/>
          <w:spacing w:val="0"/>
          <w:color w:val="000000"/>
          <w:position w:val="0"/>
        </w:rPr>
        <w:t xml:space="preserve">цитоплазмафереза </w:t>
      </w:r>
      <w:r>
        <w:rPr>
          <w:lang w:val="en-US" w:eastAsia="en-US" w:bidi="en-US"/>
          <w:w w:val="100"/>
          <w:spacing w:val="0"/>
          <w:color w:val="000000"/>
          <w:position w:val="0"/>
        </w:rPr>
        <w:t xml:space="preserve">MSC+, </w:t>
      </w:r>
      <w:r>
        <w:rPr>
          <w:lang w:val="ru-RU" w:eastAsia="ru-RU" w:bidi="ru-RU"/>
          <w:w w:val="100"/>
          <w:spacing w:val="0"/>
          <w:color w:val="000000"/>
          <w:position w:val="0"/>
        </w:rPr>
        <w:t>производства «Гемонетикс Корпорейшн, США».</w:t>
      </w:r>
    </w:p>
    <w:p>
      <w:pPr>
        <w:pStyle w:val="Style5"/>
        <w:widowControl w:val="0"/>
        <w:keepNext w:val="0"/>
        <w:keepLines w:val="0"/>
        <w:shd w:val="clear" w:color="auto" w:fill="auto"/>
        <w:bidi w:val="0"/>
        <w:jc w:val="both"/>
        <w:spacing w:before="0" w:after="0" w:line="302" w:lineRule="exact"/>
        <w:ind w:left="0" w:right="20" w:firstLine="560"/>
      </w:pPr>
      <w:r>
        <w:rPr>
          <w:lang w:val="ru-RU" w:eastAsia="ru-RU" w:bidi="ru-RU"/>
          <w:w w:val="100"/>
          <w:spacing w:val="0"/>
          <w:color w:val="000000"/>
          <w:position w:val="0"/>
        </w:rPr>
        <w:t xml:space="preserve">На заседании Комиссии Управления представитель Заказчика пояснил, что помимо «Гемонетикс Корпорейшн, США» РУ от 13 марта 2020г. № РЗН 2018/6959на рынке имеется так же медицинская продукция иного производителя ООО «ГЕМОДЖЕНИКС», Россия, «Системы расходные к аппаратам для автоматического афереза </w:t>
      </w:r>
      <w:r>
        <w:rPr>
          <w:lang w:val="en-US" w:eastAsia="en-US" w:bidi="en-US"/>
          <w:w w:val="100"/>
          <w:spacing w:val="0"/>
          <w:color w:val="000000"/>
          <w:position w:val="0"/>
        </w:rPr>
        <w:t xml:space="preserve">MCS+; PCS-2; XJC </w:t>
      </w:r>
      <w:r>
        <w:rPr>
          <w:lang w:val="ru-RU" w:eastAsia="ru-RU" w:bidi="ru-RU"/>
          <w:w w:val="100"/>
          <w:spacing w:val="0"/>
          <w:color w:val="000000"/>
          <w:position w:val="0"/>
        </w:rPr>
        <w:t>2000 по ТУ 32.50.50-002-02649147</w:t>
        <w:softHyphen/>
        <w:t>2017» продукция которого полностью соответствует требованиям Заказчика.</w:t>
      </w:r>
    </w:p>
    <w:p>
      <w:pPr>
        <w:pStyle w:val="Style5"/>
        <w:tabs>
          <w:tab w:leader="none" w:pos="3373" w:val="left"/>
        </w:tabs>
        <w:widowControl w:val="0"/>
        <w:keepNext w:val="0"/>
        <w:keepLines w:val="0"/>
        <w:shd w:val="clear" w:color="auto" w:fill="auto"/>
        <w:bidi w:val="0"/>
        <w:jc w:val="both"/>
        <w:spacing w:before="0" w:after="0" w:line="317" w:lineRule="exact"/>
        <w:ind w:left="0" w:right="0" w:firstLine="560"/>
      </w:pPr>
      <w:r>
        <w:rPr>
          <w:lang w:val="ru-RU" w:eastAsia="ru-RU" w:bidi="ru-RU"/>
          <w:w w:val="100"/>
          <w:spacing w:val="0"/>
          <w:color w:val="000000"/>
          <w:position w:val="0"/>
        </w:rPr>
        <w:t>На основании ч.9</w:t>
        <w:tab/>
        <w:t>ст.105 Закона о контрактной системе к жалобе</w:t>
      </w:r>
    </w:p>
    <w:p>
      <w:pPr>
        <w:pStyle w:val="Style5"/>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прикладываются документы, подтверждающие ее обоснованность.</w:t>
      </w:r>
    </w:p>
    <w:p>
      <w:pPr>
        <w:pStyle w:val="Style5"/>
        <w:widowControl w:val="0"/>
        <w:keepNext w:val="0"/>
        <w:keepLines w:val="0"/>
        <w:shd w:val="clear" w:color="auto" w:fill="auto"/>
        <w:bidi w:val="0"/>
        <w:jc w:val="both"/>
        <w:spacing w:before="0" w:after="0" w:line="317" w:lineRule="exact"/>
        <w:ind w:left="0" w:right="20" w:firstLine="560"/>
      </w:pPr>
      <w:r>
        <w:rPr>
          <w:lang w:val="ru-RU" w:eastAsia="ru-RU" w:bidi="ru-RU"/>
          <w:w w:val="100"/>
          <w:spacing w:val="0"/>
          <w:color w:val="000000"/>
          <w:position w:val="0"/>
        </w:rPr>
        <w:t>При этом обязанность доказывания нарушения своих прав и законных интересов лежит на подателе жалобы. Вместе с тем в своей жалобе Заявителем не представлено сведений, подтверждающих несоответствие продукции, заявленной представителем Заказчика, требованиям аукционной документации, равно как и не представлено доводов, подтверждающих обоснованность изложенных в жалобе</w:t>
      </w:r>
    </w:p>
    <w:p>
      <w:pPr>
        <w:pStyle w:val="Style5"/>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доводов.</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На основании вышеизложенного Комиссия Управления приходит к выводу о том, что доводы жалобы не нашли своего подтверждения и являются необоснованными.</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Согласно доводам жалобы Заказчиком в технической части аукционной документации установлены требования к товаров, которые влекут за собой ограничение количества участников закупки и препятствуют формированию заявки на участие в аукционе, а именно по п. 1 «Раствор для консервирования крови, содержащий антикоагулянт» установлено требование «Вода для инъекций: &gt;1000 мл».</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На заседании Комиссии Управления представитель Заказчика пояснил, что потребности Заказчика будет соответствовать медицинское изделие с любым значением из указанного диапазона.</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вместе с тем жалоба заявителя не содержит указания на наличие препятствий при формировании и подаче заявок на участие в аукционе, при этом жалоба также не содержит доводов, указывающих на то каким образом установление требований к товарам указанным в Техническом задании противоречит Закону о контрактной системе и в чем выражены нарушения допущенные Заказчиком при формировании аукционной документации.</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На основании вышеизложенного, Комиссия Управления приходит к выводу о необоснованности данного довода жалобы.</w:t>
      </w:r>
    </w:p>
    <w:p>
      <w:pPr>
        <w:pStyle w:val="Style5"/>
        <w:widowControl w:val="0"/>
        <w:keepNext w:val="0"/>
        <w:keepLines w:val="0"/>
        <w:shd w:val="clear" w:color="auto" w:fill="auto"/>
        <w:bidi w:val="0"/>
        <w:jc w:val="both"/>
        <w:spacing w:before="0" w:after="0" w:line="317" w:lineRule="exact"/>
        <w:ind w:left="20" w:right="20" w:firstLine="560"/>
        <w:sectPr>
          <w:footnotePr>
            <w:pos w:val="pageBottom"/>
            <w:numFmt w:val="decimal"/>
            <w:numRestart w:val="continuous"/>
          </w:footnotePr>
          <w:type w:val="continuous"/>
          <w:pgSz w:w="11906" w:h="16838"/>
          <w:pgMar w:top="1255" w:left="849" w:right="838" w:bottom="1321"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jc w:val="left"/>
        <w:spacing w:before="0" w:after="303" w:line="260" w:lineRule="exact"/>
        <w:ind w:left="4520" w:right="0" w:firstLine="0"/>
      </w:pPr>
      <w:bookmarkStart w:id="1" w:name="bookmark1"/>
      <w:r>
        <w:rPr>
          <w:lang w:val="ru-RU" w:eastAsia="ru-RU" w:bidi="ru-RU"/>
          <w:w w:val="100"/>
          <w:spacing w:val="0"/>
          <w:color w:val="000000"/>
          <w:position w:val="0"/>
        </w:rPr>
        <w:t>Р Е Ш И Л А:</w:t>
      </w:r>
      <w:bookmarkEnd w:id="1"/>
    </w:p>
    <w:p>
      <w:pPr>
        <w:pStyle w:val="Style5"/>
        <w:numPr>
          <w:ilvl w:val="0"/>
          <w:numId w:val="9"/>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Признать жалобу ООО «Центр подрядных торгов в строительстве» на действия ГБУЗ «Морозовская ДГКБ ДЗМ» обоснованной в части неверного выбора кода ОКПД2, что повлекло к неправомерному объединению в один лот товаров, включенных Перечень №1, в отношении которых устанавливаются ограничения допуска в соответствии с положениями Постановления Правительства №102 и не включенных в него, а также нарушении Заказчиком положений п.1 ч.1 ст.33, при описании закупаемого товара.</w:t>
      </w:r>
    </w:p>
    <w:p>
      <w:pPr>
        <w:pStyle w:val="Style5"/>
        <w:numPr>
          <w:ilvl w:val="0"/>
          <w:numId w:val="9"/>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Признать в действиях Заказчика нарушение п.1 ч.1 ст.33, ч.3 ст.14 Закона о контрактной системе.</w:t>
      </w:r>
    </w:p>
    <w:p>
      <w:pPr>
        <w:pStyle w:val="Style5"/>
        <w:numPr>
          <w:ilvl w:val="0"/>
          <w:numId w:val="9"/>
        </w:numPr>
        <w:widowControl w:val="0"/>
        <w:keepNext w:val="0"/>
        <w:keepLines w:val="0"/>
        <w:shd w:val="clear" w:color="auto" w:fill="auto"/>
        <w:bidi w:val="0"/>
        <w:jc w:val="both"/>
        <w:spacing w:before="0" w:after="0" w:line="317" w:lineRule="exact"/>
        <w:ind w:left="0" w:right="20" w:firstLine="720"/>
        <w:sectPr>
          <w:type w:val="continuous"/>
          <w:pgSz w:w="11906" w:h="16838"/>
          <w:pgMar w:top="1523" w:left="855" w:right="836" w:bottom="2329" w:header="0" w:footer="3" w:gutter="0"/>
          <w:rtlGutter w:val="0"/>
          <w:cols w:space="720"/>
          <w:noEndnote/>
          <w:docGrid w:linePitch="360"/>
        </w:sectPr>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widowControl w:val="0"/>
        <w:spacing w:before="71" w:after="7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both"/>
        <w:spacing w:before="0" w:after="349" w:line="322" w:lineRule="exact"/>
        <w:ind w:left="0" w:right="40" w:firstLine="700"/>
      </w:pPr>
      <w:r>
        <w:rPr>
          <w:lang w:val="ru-RU" w:eastAsia="ru-RU" w:bidi="ru-RU"/>
          <w:w w:val="100"/>
          <w:spacing w:val="0"/>
          <w:color w:val="000000"/>
          <w:position w:val="0"/>
        </w:rPr>
        <w:t>Решение по делу может быть Арбитражном суде г. Москвы в течение порядке, установленном гл. 24 АПК РФ.</w:t>
      </w:r>
    </w:p>
    <w:p>
      <w:pPr>
        <w:pStyle w:val="Style5"/>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Председательствующий:</w:t>
      </w:r>
    </w:p>
    <w:p>
      <w:pPr>
        <w:pStyle w:val="Style5"/>
        <w:widowControl w:val="0"/>
        <w:keepNext w:val="0"/>
        <w:keepLines w:val="0"/>
        <w:shd w:val="clear" w:color="auto" w:fill="auto"/>
        <w:bidi w:val="0"/>
        <w:jc w:val="left"/>
        <w:spacing w:before="0" w:after="0" w:line="638" w:lineRule="exact"/>
        <w:ind w:left="0" w:right="0" w:firstLine="0"/>
      </w:pPr>
      <w:r>
        <w:rPr>
          <w:lang w:val="ru-RU" w:eastAsia="ru-RU" w:bidi="ru-RU"/>
          <w:w w:val="100"/>
          <w:spacing w:val="0"/>
          <w:color w:val="000000"/>
          <w:position w:val="0"/>
        </w:rPr>
        <w:t>Заместитель председателя Комиссии</w:t>
      </w:r>
    </w:p>
    <w:p>
      <w:pPr>
        <w:pStyle w:val="Style5"/>
        <w:widowControl w:val="0"/>
        <w:keepNext w:val="0"/>
        <w:keepLines w:val="0"/>
        <w:shd w:val="clear" w:color="auto" w:fill="auto"/>
        <w:bidi w:val="0"/>
        <w:jc w:val="left"/>
        <w:spacing w:before="0" w:after="0" w:line="638" w:lineRule="exact"/>
        <w:ind w:left="0" w:right="0" w:firstLine="0"/>
      </w:pPr>
      <w:r>
        <w:rPr>
          <w:lang w:val="ru-RU" w:eastAsia="ru-RU" w:bidi="ru-RU"/>
          <w:w w:val="100"/>
          <w:spacing w:val="0"/>
          <w:color w:val="000000"/>
          <w:position w:val="0"/>
        </w:rPr>
        <w:t>Заместитель председателя Комиссии</w:t>
      </w:r>
    </w:p>
    <w:p>
      <w:pPr>
        <w:pStyle w:val="Style5"/>
        <w:widowControl w:val="0"/>
        <w:keepNext w:val="0"/>
        <w:keepLines w:val="0"/>
        <w:shd w:val="clear" w:color="auto" w:fill="auto"/>
        <w:bidi w:val="0"/>
        <w:jc w:val="left"/>
        <w:spacing w:before="0" w:after="0" w:line="638" w:lineRule="exact"/>
        <w:ind w:left="0" w:right="0" w:firstLine="0"/>
      </w:pPr>
      <w:r>
        <w:rPr>
          <w:lang w:val="ru-RU" w:eastAsia="ru-RU" w:bidi="ru-RU"/>
          <w:w w:val="100"/>
          <w:spacing w:val="0"/>
          <w:color w:val="000000"/>
          <w:position w:val="0"/>
        </w:rPr>
        <w:t>Член Комиссии</w:t>
      </w:r>
    </w:p>
    <w:p>
      <w:pPr>
        <w:pStyle w:val="Style5"/>
        <w:widowControl w:val="0"/>
        <w:keepNext w:val="0"/>
        <w:keepLines w:val="0"/>
        <w:shd w:val="clear" w:color="auto" w:fill="auto"/>
        <w:bidi w:val="0"/>
        <w:jc w:val="right"/>
        <w:spacing w:before="0" w:after="643" w:line="317" w:lineRule="exact"/>
        <w:ind w:left="0" w:right="20" w:firstLine="0"/>
      </w:pPr>
      <w:r>
        <w:rPr>
          <w:lang w:val="ru-RU" w:eastAsia="ru-RU" w:bidi="ru-RU"/>
          <w:w w:val="100"/>
          <w:spacing w:val="0"/>
          <w:color w:val="000000"/>
          <w:position w:val="0"/>
        </w:rPr>
        <w:t>обжаловано в судебном порядке в 3 (трех) месяцев с даты его принятия в</w:t>
      </w:r>
    </w:p>
    <w:p>
      <w:pPr>
        <w:pStyle w:val="Style5"/>
        <w:widowControl w:val="0"/>
        <w:keepNext w:val="0"/>
        <w:keepLines w:val="0"/>
        <w:shd w:val="clear" w:color="auto" w:fill="auto"/>
        <w:bidi w:val="0"/>
        <w:jc w:val="right"/>
        <w:spacing w:before="0" w:after="0" w:line="638" w:lineRule="exact"/>
        <w:ind w:left="3000" w:right="20" w:firstLine="0"/>
        <w:sectPr>
          <w:type w:val="continuous"/>
          <w:pgSz w:w="11906" w:h="16838"/>
          <w:pgMar w:top="1523" w:left="855" w:right="855" w:bottom="2329" w:header="0" w:footer="3" w:gutter="0"/>
          <w:rtlGutter w:val="0"/>
          <w:cols w:num="2" w:space="120"/>
          <w:noEndnote/>
          <w:docGrid w:linePitch="360"/>
        </w:sectPr>
      </w:pPr>
      <w:r>
        <w:rPr>
          <w:lang w:val="ru-RU" w:eastAsia="ru-RU" w:bidi="ru-RU"/>
          <w:w w:val="100"/>
          <w:spacing w:val="0"/>
          <w:color w:val="000000"/>
          <w:position w:val="0"/>
        </w:rPr>
        <w:t>Д.А. Сологов А.С. Спирякова А.А. Кутейников</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6" w:after="2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Исп. Кутейников А.А. 8(495) 784-75-05 (077-162)</w:t>
      </w:r>
    </w:p>
    <w:sectPr>
      <w:type w:val="continuous"/>
      <w:pgSz w:w="11906" w:h="16838"/>
      <w:pgMar w:top="1523" w:left="855" w:right="6101" w:bottom="23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99"/>
      <w:numFmt w:val="decimal"/>
      <w:lvlText w:val="21.20.23.%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99"/>
      <w:numFmt w:val="decimal"/>
      <w:lvlText w:val="21.20.23.%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380" w:line="283"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