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sectPr>
          <w:footnotePr>
            <w:pos w:val="pageBottom"/>
            <w:numFmt w:val="decimal"/>
            <w:numRestart w:val="continuous"/>
          </w:footnotePr>
          <w:type w:val="continuous"/>
          <w:pgSz w:w="11906" w:h="16838"/>
          <w:pgMar w:top="1164" w:left="2436" w:right="8484" w:bottom="1193" w:header="0" w:footer="3" w:gutter="0"/>
          <w:rtlGutter w:val="0"/>
          <w:cols w:space="720"/>
          <w:noEndnote/>
          <w:docGrid w:linePitch="360"/>
        </w:sectPr>
      </w:pPr>
    </w:p>
    <w:p>
      <w:pPr>
        <w:widowControl w:val="0"/>
        <w:spacing w:line="219" w:lineRule="exact"/>
        <w:rPr>
          <w:sz w:val="18"/>
          <w:szCs w:val="18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ФЕДЕРАЛЬНАЯ АНТИМОНОПОЛЬНАЯ СЛУЖБА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158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УПРАВЛЕНИЕ Федеральной антимонопольной службы по Волгоградской области</w:t>
      </w:r>
    </w:p>
    <w:p>
      <w:pPr>
        <w:pStyle w:val="Style5"/>
        <w:tabs>
          <w:tab w:leader="none" w:pos="3498" w:val="right"/>
        </w:tabs>
        <w:widowControl w:val="0"/>
        <w:keepNext w:val="0"/>
        <w:keepLines w:val="0"/>
        <w:shd w:val="clear" w:color="auto" w:fill="auto"/>
        <w:bidi w:val="0"/>
        <w:jc w:val="left"/>
        <w:spacing w:before="0" w:after="24"/>
        <w:ind w:left="240" w:right="26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ул. 7-я Гвардейская, д. 12, Волгоград, 400005 тел. (8442) 24-22-65, факс (8442) 24-22-76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e-mail: </w:t>
      </w:r>
      <w:r>
        <w:fldChar w:fldCharType="begin"/>
      </w:r>
      <w:r>
        <w:rPr>
          <w:color w:val="000000"/>
        </w:rPr>
        <w:instrText> HYPERLINK "mailto:to34@fas.gov.ru"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to34@fas.gov.ru</w:t>
      </w:r>
      <w:r>
        <w:fldChar w:fldCharType="end"/>
      </w:r>
      <w:r>
        <w:rPr>
          <w:lang w:val="en-US" w:eastAsia="en-US" w:bidi="en-US"/>
          <w:w w:val="100"/>
          <w:spacing w:val="0"/>
          <w:color w:val="000000"/>
          <w:position w:val="0"/>
        </w:rPr>
        <w:tab/>
      </w:r>
      <w:r>
        <w:rPr>
          <w:rStyle w:val="CharStyle7"/>
        </w:rPr>
        <w:t>/</w:t>
      </w:r>
    </w:p>
    <w:p>
      <w:pPr>
        <w:pStyle w:val="Style8"/>
        <w:widowControl w:val="0"/>
        <w:keepNext/>
        <w:keepLines/>
        <w:shd w:val="clear" w:color="auto" w:fill="auto"/>
        <w:bidi w:val="0"/>
        <w:jc w:val="left"/>
        <w:spacing w:before="0" w:after="72" w:line="400" w:lineRule="exact"/>
        <w:ind w:left="20" w:right="0" w:firstLine="0"/>
      </w:pPr>
      <w:bookmarkStart w:id="0" w:name="bookmark0"/>
      <w:r>
        <w:rPr>
          <w:rStyle w:val="CharStyle10"/>
          <w:i/>
          <w:iCs/>
        </w:rPr>
        <w:t>МЖ&lt;Ш/</w:t>
      </w:r>
      <w:r>
        <w:rPr>
          <w:rStyle w:val="CharStyle11"/>
          <w:i w:val="0"/>
          <w:iCs w:val="0"/>
        </w:rPr>
        <w:t xml:space="preserve"> </w:t>
      </w:r>
      <w:r>
        <w:rPr>
          <w:rStyle w:val="CharStyle12"/>
          <w:i w:val="0"/>
          <w:iCs w:val="0"/>
        </w:rPr>
        <w:t>№</w:t>
      </w:r>
      <w:bookmarkEnd w:id="0"/>
    </w:p>
    <w:p>
      <w:pPr>
        <w:pStyle w:val="Style13"/>
        <w:tabs>
          <w:tab w:leader="none" w:pos="2047" w:val="center"/>
        </w:tabs>
        <w:widowControl w:val="0"/>
        <w:keepNext w:val="0"/>
        <w:keepLines w:val="0"/>
        <w:shd w:val="clear" w:color="auto" w:fill="auto"/>
        <w:bidi w:val="0"/>
        <w:spacing w:before="0" w:after="0" w:line="22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№</w:t>
        <w:tab/>
        <w:t>от</w:t>
      </w:r>
    </w:p>
    <w:p>
      <w:pPr>
        <w:pStyle w:val="Style15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Заявитель:</w:t>
      </w:r>
    </w:p>
    <w:p>
      <w:pPr>
        <w:pStyle w:val="Style17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ООО «Джули»</w:t>
      </w:r>
    </w:p>
    <w:p>
      <w:pPr>
        <w:pStyle w:val="Style17"/>
        <w:widowControl w:val="0"/>
        <w:keepNext w:val="0"/>
        <w:keepLines w:val="0"/>
        <w:shd w:val="clear" w:color="auto" w:fill="auto"/>
        <w:bidi w:val="0"/>
        <w:jc w:val="left"/>
        <w:spacing w:before="0" w:after="243"/>
        <w:ind w:left="20" w:right="62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ул. Чапаева, стр. 14, корпус 3, часть помещения 19 Екатеринбур, 620063 </w:t>
      </w:r>
      <w:r>
        <w:fldChar w:fldCharType="begin"/>
      </w:r>
      <w:r>
        <w:rPr>
          <w:color w:val="000000"/>
        </w:rPr>
        <w:instrText> HYPERLINK "mailto:July096@yandex.ru" </w:instrText>
      </w:r>
      <w:r>
        <w:fldChar w:fldCharType="separate"/>
      </w:r>
      <w:r>
        <w:rPr>
          <w:rStyle w:val="Hyperlink"/>
          <w:lang w:val="en-US" w:eastAsia="en-US" w:bidi="en-US"/>
          <w:sz w:val="24"/>
          <w:szCs w:val="24"/>
          <w:w w:val="100"/>
          <w:spacing w:val="0"/>
          <w:position w:val="0"/>
        </w:rPr>
        <w:t>July096@yandex.ru</w:t>
      </w:r>
      <w:r>
        <w:fldChar w:fldCharType="end"/>
      </w:r>
    </w:p>
    <w:p>
      <w:pPr>
        <w:pStyle w:val="Style15"/>
        <w:widowControl w:val="0"/>
        <w:keepNext w:val="0"/>
        <w:keepLines w:val="0"/>
        <w:shd w:val="clear" w:color="auto" w:fill="auto"/>
        <w:bidi w:val="0"/>
        <w:jc w:val="left"/>
        <w:spacing w:before="0" w:after="0" w:line="27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Заказчик:</w:t>
      </w:r>
    </w:p>
    <w:p>
      <w:pPr>
        <w:pStyle w:val="Style17"/>
        <w:widowControl w:val="0"/>
        <w:keepNext w:val="0"/>
        <w:keepLines w:val="0"/>
        <w:shd w:val="clear" w:color="auto" w:fill="auto"/>
        <w:bidi w:val="0"/>
        <w:jc w:val="left"/>
        <w:spacing w:before="0" w:after="0" w:line="270" w:lineRule="exact"/>
        <w:ind w:left="20" w:right="0" w:firstLine="0"/>
        <w:sectPr>
          <w:type w:val="continuous"/>
          <w:pgSz w:w="11906" w:h="16838"/>
          <w:pgMar w:top="1164" w:left="1018" w:right="2242" w:bottom="1193" w:header="0" w:footer="3" w:gutter="0"/>
          <w:rtlGutter w:val="0"/>
          <w:cols w:num="2" w:space="102"/>
          <w:noEndnote/>
          <w:docGrid w:linePitch="360"/>
        </w:sectPr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Комитет по строительству и жилищно- коммунальному хозяйству администрации Среднеахтубинского муниципального района Волгоградской области ул. Ленина, 65, р.п. Средняя Ахтуба, Волгоградская обл., 404143 </w:t>
      </w:r>
      <w:r>
        <w:fldChar w:fldCharType="begin"/>
      </w:r>
      <w:r>
        <w:rPr>
          <w:color w:val="000000"/>
        </w:rPr>
        <w:instrText> HYPERLINK "mailto:gko-sahtyba@yandex.ru" </w:instrText>
      </w:r>
      <w:r>
        <w:fldChar w:fldCharType="separate"/>
      </w:r>
      <w:r>
        <w:rPr>
          <w:rStyle w:val="Hyperlink"/>
          <w:lang w:val="en-US" w:eastAsia="en-US" w:bidi="en-US"/>
          <w:sz w:val="24"/>
          <w:szCs w:val="24"/>
          <w:w w:val="100"/>
          <w:spacing w:val="0"/>
          <w:position w:val="0"/>
        </w:rPr>
        <w:t>gko-sahtyba@yandex.ru</w:t>
      </w:r>
      <w:r>
        <w:fldChar w:fldCharType="end"/>
      </w:r>
    </w:p>
    <w:p>
      <w:pPr>
        <w:widowControl w:val="0"/>
        <w:spacing w:before="17" w:after="17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15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438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Уполномоченный орган:</w:t>
      </w:r>
    </w:p>
    <w:p>
      <w:pPr>
        <w:pStyle w:val="Style17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4380" w:right="174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ГКУ Волгоградской области «Центр организации закупок» ул. Новороссийская, д. 15,</w:t>
      </w:r>
    </w:p>
    <w:p>
      <w:pPr>
        <w:pStyle w:val="Style17"/>
        <w:widowControl w:val="0"/>
        <w:keepNext w:val="0"/>
        <w:keepLines w:val="0"/>
        <w:shd w:val="clear" w:color="auto" w:fill="auto"/>
        <w:bidi w:val="0"/>
        <w:jc w:val="left"/>
        <w:spacing w:before="0" w:after="237"/>
        <w:ind w:left="4380" w:right="174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Волгоград, 400066 </w:t>
      </w:r>
      <w:r>
        <w:fldChar w:fldCharType="begin"/>
      </w:r>
      <w:r>
        <w:rPr>
          <w:color w:val="000000"/>
        </w:rPr>
        <w:instrText> HYPERLINK "mailto:coz@volganet.ru" </w:instrText>
      </w:r>
      <w:r>
        <w:fldChar w:fldCharType="separate"/>
      </w:r>
      <w:r>
        <w:rPr>
          <w:rStyle w:val="Hyperlink"/>
          <w:lang w:val="en-US" w:eastAsia="en-US" w:bidi="en-US"/>
          <w:sz w:val="24"/>
          <w:szCs w:val="24"/>
          <w:w w:val="100"/>
          <w:spacing w:val="0"/>
          <w:position w:val="0"/>
        </w:rPr>
        <w:t>coz@volganet.ru</w:t>
      </w:r>
      <w:r>
        <w:fldChar w:fldCharType="end"/>
      </w:r>
    </w:p>
    <w:p>
      <w:pPr>
        <w:pStyle w:val="Style15"/>
        <w:widowControl w:val="0"/>
        <w:keepNext w:val="0"/>
        <w:keepLines w:val="0"/>
        <w:shd w:val="clear" w:color="auto" w:fill="auto"/>
        <w:bidi w:val="0"/>
        <w:jc w:val="left"/>
        <w:spacing w:before="0" w:after="0" w:line="277" w:lineRule="exact"/>
        <w:ind w:left="438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Оператор электронной площадки:</w:t>
      </w:r>
    </w:p>
    <w:p>
      <w:pPr>
        <w:pStyle w:val="Style17"/>
        <w:widowControl w:val="0"/>
        <w:keepNext w:val="0"/>
        <w:keepLines w:val="0"/>
        <w:shd w:val="clear" w:color="auto" w:fill="auto"/>
        <w:bidi w:val="0"/>
        <w:jc w:val="left"/>
        <w:spacing w:before="0" w:after="1243" w:line="277" w:lineRule="exact"/>
        <w:ind w:left="4380" w:right="174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Акционерное общество «Электронные торговые системы» ул. Тестовская, д. 10, Москва, 123112 </w:t>
      </w:r>
      <w:r>
        <w:fldChar w:fldCharType="begin"/>
      </w:r>
      <w:r>
        <w:rPr>
          <w:color w:val="000000"/>
        </w:rPr>
        <w:instrText> HYPERLINK "mailto:auditors@etpz.ru" </w:instrText>
      </w:r>
      <w:r>
        <w:fldChar w:fldCharType="separate"/>
      </w:r>
      <w:r>
        <w:rPr>
          <w:rStyle w:val="Hyperlink"/>
          <w:lang w:val="en-US" w:eastAsia="en-US" w:bidi="en-US"/>
          <w:sz w:val="24"/>
          <w:szCs w:val="24"/>
          <w:w w:val="100"/>
          <w:spacing w:val="0"/>
          <w:position w:val="0"/>
        </w:rPr>
        <w:t>auditors@etpz.ru</w:t>
      </w:r>
      <w:r>
        <w:fldChar w:fldCharType="end"/>
      </w:r>
    </w:p>
    <w:p>
      <w:pPr>
        <w:pStyle w:val="Style17"/>
        <w:widowControl w:val="0"/>
        <w:keepNext w:val="0"/>
        <w:keepLines w:val="0"/>
        <w:shd w:val="clear" w:color="auto" w:fill="auto"/>
        <w:bidi w:val="0"/>
        <w:jc w:val="left"/>
        <w:spacing w:before="0" w:after="287" w:line="299" w:lineRule="exact"/>
        <w:ind w:left="1980" w:right="2000" w:firstLine="224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РЕШЕНИЕ по делу № 034/06/105-108/2021 о нарушении законодательства о контрактной системе</w:t>
      </w:r>
    </w:p>
    <w:p>
      <w:pPr>
        <w:pStyle w:val="Style17"/>
        <w:tabs>
          <w:tab w:leader="none" w:pos="9733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267" w:line="240" w:lineRule="exact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15 февраля 2021 года</w:t>
        <w:tab/>
        <w:t>Волгоград</w:t>
      </w:r>
    </w:p>
    <w:p>
      <w:pPr>
        <w:pStyle w:val="Style17"/>
        <w:widowControl w:val="0"/>
        <w:keepNext w:val="0"/>
        <w:keepLines w:val="0"/>
        <w:shd w:val="clear" w:color="auto" w:fill="auto"/>
        <w:bidi w:val="0"/>
        <w:jc w:val="both"/>
        <w:spacing w:before="0" w:after="0" w:line="295" w:lineRule="exact"/>
        <w:ind w:left="20" w:right="26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Комиссия Управления Федеральной антимонопольной службы по Волгоградской области (далее — Управление) по контролю за соблюдением законодательства о контрактной системе в составе:</w:t>
      </w:r>
    </w:p>
    <w:p>
      <w:pPr>
        <w:pStyle w:val="Style17"/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40" w:right="60" w:firstLine="74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Литвинова </w:t>
      </w: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 xml:space="preserve">P.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А. - председателя Комиссии, начальника отдела контроля государственных и муниципальных закупок, недобросовестной конкуренции и рекламы;</w:t>
      </w:r>
    </w:p>
    <w:p>
      <w:pPr>
        <w:pStyle w:val="Style17"/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40" w:right="60" w:firstLine="74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Моисеева С.В. - члена Комиссии, заместителя начальника отдела контроля государственных и муниципальных закупок, недобросовестной конкуренции и рекламы;</w:t>
      </w:r>
    </w:p>
    <w:p>
      <w:pPr>
        <w:pStyle w:val="Style17"/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40" w:right="60" w:firstLine="74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Гейбатовой А.Д. - члена Комиссии, старшего государственного инспектора отдела контроля государственных и муниципальных закупок, недобросовестной конкуренции и рекламы,</w:t>
      </w:r>
    </w:p>
    <w:p>
      <w:pPr>
        <w:pStyle w:val="Style17"/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40" w:right="0" w:firstLine="74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с участием:</w:t>
      </w:r>
    </w:p>
    <w:p>
      <w:pPr>
        <w:pStyle w:val="Style17"/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40" w:right="60" w:firstLine="74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Ленковой М.Н. - представителя ГКУ Волгоградской области «Центр организации закупок» на основании доверенности от 11.01.2020 № 2;</w:t>
      </w:r>
    </w:p>
    <w:p>
      <w:pPr>
        <w:pStyle w:val="Style17"/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40" w:right="60" w:firstLine="74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Пономаревой И.И. - представителя комитета по строительству и жилищно- коммунальному хозяйству администрации Среднеахтубинского муниципального района волгоградской области на основании доверенности от 12.02.2021 № 2,</w:t>
      </w:r>
    </w:p>
    <w:p>
      <w:pPr>
        <w:pStyle w:val="Style17"/>
        <w:widowControl w:val="0"/>
        <w:keepNext w:val="0"/>
        <w:keepLines w:val="0"/>
        <w:shd w:val="clear" w:color="auto" w:fill="auto"/>
        <w:bidi w:val="0"/>
        <w:jc w:val="both"/>
        <w:spacing w:before="0" w:after="587" w:line="299" w:lineRule="exact"/>
        <w:ind w:left="40" w:right="60" w:firstLine="74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рассмотрев жалобу ООО «Джули» вх. 1214 от 09.02.2021 на положения документации при проведении закупки «Строительство межпоселкового хозпитьевого водоснабжения для с. Верхнепогромное. Водовод в 2 линии» (номер извещения 0329200062221000073),</w:t>
      </w:r>
    </w:p>
    <w:p>
      <w:pPr>
        <w:pStyle w:val="Style17"/>
        <w:widowControl w:val="0"/>
        <w:keepNext w:val="0"/>
        <w:keepLines w:val="0"/>
        <w:shd w:val="clear" w:color="auto" w:fill="auto"/>
        <w:bidi w:val="0"/>
        <w:jc w:val="left"/>
        <w:spacing w:before="0" w:after="257" w:line="240" w:lineRule="exact"/>
        <w:ind w:left="440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УСТАНОВИЛА:</w:t>
      </w:r>
    </w:p>
    <w:p>
      <w:pPr>
        <w:pStyle w:val="Style17"/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40" w:right="60" w:firstLine="9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 Управление 09.02.2021 вх. № 1214 поступила жалоба ООО «Джули» (далее - Заявитель) на положения документации аукциона в электронной форме «Строительство межпоселкового хозпитьевого водоснабжения для с. Верхнепогромное. Водовод в 2 линии» (номер извещения 0329200062221000073).</w:t>
      </w:r>
    </w:p>
    <w:p>
      <w:pPr>
        <w:pStyle w:val="Style17"/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40" w:right="60" w:firstLine="9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Изучив доводы сторон, ознакомившись с представленными документами, и проведя внеплановую проверку в соответствии с ч. 15 ст. 99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системе), Комиссия Управления пришла к следующим выводам.</w:t>
      </w:r>
    </w:p>
    <w:p>
      <w:pPr>
        <w:pStyle w:val="Style17"/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40" w:right="60" w:firstLine="74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На официальном сайте </w:t>
      </w:r>
      <w:r>
        <w:fldChar w:fldCharType="begin"/>
      </w:r>
      <w:r>
        <w:rPr>
          <w:color w:val="000000"/>
        </w:rPr>
        <w:instrText> HYPERLINK "http://www.zakupki.gov.ru" </w:instrText>
      </w:r>
      <w:r>
        <w:fldChar w:fldCharType="separate"/>
      </w:r>
      <w:r>
        <w:rPr>
          <w:rStyle w:val="Hyperlink"/>
          <w:lang w:val="en-US" w:eastAsia="en-US" w:bidi="en-US"/>
          <w:sz w:val="24"/>
          <w:szCs w:val="24"/>
          <w:w w:val="100"/>
          <w:spacing w:val="0"/>
          <w:position w:val="0"/>
        </w:rPr>
        <w:t>www.zakupki.gov.ru</w:t>
      </w:r>
      <w:r>
        <w:fldChar w:fldCharType="end"/>
      </w: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 xml:space="preserve">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(далее - ЕИС) 01.02.2021 были опубликованы извещение и документация о проведении закупки «Строительство межпоселкового хозпитьевого водоснабжения для с. Верхнепогромное. Водовод в 2 линии» (номер извещения 0329200062221000073). Заказчик - комитет по строительству и жилищно - коммунальному хозяйству администрации Среднеахтубинского муниципального района Волгоградской области (далее - Заказчик). Начальная (максимальная) цена контракта 31 204 372,50 российских рублей (далее - НМЦК). На этапе рассмотрения первых частей заявок, приняло участие 7 участников. До участия в электронном аукционе было допущено 6 участников. По итогам проведения аукциона снижение НМЦК составило 25 %.</w:t>
      </w:r>
    </w:p>
    <w:p>
      <w:pPr>
        <w:pStyle w:val="Style17"/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40" w:right="60" w:firstLine="74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Согласно первому доводу жалобы Заявитель указывает на отсутствие в составе аукционной документации проекта сметы контракта, предусмотренного приказом Министерства строительства и жилищно-коммунального хозяйства Российской Федерации от 23 декабря 2019 г. № 841/пр «Об утверждении Порядка определения начальной (максимальной) цены контракта, цены контракта, заключаемого с единственным поставщиком (подрядчиком, исполнителем), начальной цены единицы товара, работы, услуги при осуществлении закупок в сфере градостроительной деятельности (за исключением территориального планирования) и Методики составления сметы контракта, предметом которого являются строительство, реконструкция объектов капитального строительства» (далее - Приказ № 841/пр).</w:t>
      </w:r>
    </w:p>
    <w:p>
      <w:pPr>
        <w:pStyle w:val="Style17"/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20" w:right="0" w:firstLine="8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 части данного довода комиссия установила следующее.</w:t>
      </w:r>
    </w:p>
    <w:p>
      <w:pPr>
        <w:pStyle w:val="Style17"/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20" w:right="20" w:firstLine="8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 соответствии с ч. 6.1 ст. 110.2 Закона о контрактной системе оплата выполненных работ осуществляется в пределах цены контрактов, предметом которых являются строительство, реконструкция объектов капитального строительства, в соответствии с их сметой в сроки и в размерах, которые установлены таким контрактом или графиком оплаты выполненных по контракту работ (при наличии) с учетом графика выполнения строительно-монтажных работ и фактически выполненных подрядчиком работ. При этом составление сметы такого контракта осуществляется в пределах цены контракта без использования предусмотренных проектной документацией в соответствии с Градостроительным кодексом Российской Федерации сметных нормативов, сведения о которых включены в федеральный реестр сметных нормативов, и сметных цен строительных ресурсов.</w:t>
      </w:r>
    </w:p>
    <w:p>
      <w:pPr>
        <w:pStyle w:val="Style17"/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20" w:right="20" w:firstLine="8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Согласно п. 2 приложения 2 «Методика составления сметы контракта, предметом которого являются строительство, реконструкция объектов капитального строительства» к приказу Министерства строительства и жилищно-коммунального хозяйства Российской Федерации от 23 декабря 2019 года № 841/пр (далее - Методика) смета контракта на выполнение подрядных работ по строительству некапитальных строений и сооружений, а также других подрядных работ, указанных в разделе VI порядка определения начальной (максимальной) цены контракта, цены контракта, заключаемого с единственным поставщиком (подрядчиком, исполнителем), начальной цены единицы товара, работы, услуги при осуществлении закупок в сфере градостроительной деятельности (за исключением территориального планирования) (далее - Порядок), по соглашению сторон контракта может быть составлена в соответствии с Методикой, если в составе документации о закупке размещен проект сметы контракта.</w:t>
      </w:r>
    </w:p>
    <w:p>
      <w:pPr>
        <w:pStyle w:val="Style17"/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20" w:right="20" w:firstLine="8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Пунктом 4 Методики установлено, что при осуществлении закупки подрядных работ по строительству и реконструкции путем проведения конкурентных способов определения подрядчиков смета контракта составляется заказчиком на основании размещенного в единой информационной системе в сфере закупок в порядке, установленном в порядке, проекта сметы контракта посредством указания цены каждого конструктивного решения (элемента), комплекса (вида) работ с учетом пропорционального снижения начальной (максимальной) цены контракта участником закупки, с которым заключается контракт.</w:t>
      </w:r>
    </w:p>
    <w:p>
      <w:pPr>
        <w:pStyle w:val="Style17"/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20" w:right="20" w:firstLine="8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Согласно п. 8 ч. 1 ст. 33 Закона о контрактной системе заказчик при описании в документации о закупке объекта закупки должен руководствоваться, в том числе, следующим правилом: документация о закупке при осуществлении закупки работ по строительству, реконструкции, капитальному ремонту, сносу объекта капитального строительства должна содержать проектную документацию, утвержденную в порядке, установленном законодательством о градостроительной деятельности, за исключением случая, если подготовка проектной документации в соответствии с указанным законодательством не требуется, а также случаев осуществления закупки в соответствии с частями 16 и 16.1 статьи 34 Закона о контрактной системе, при которых предметом контракта является в том числе проектирование объекта капитального строительства. Включение проектной документации в документацию о закупке в соответствии с настоящим пунктом является надлежащим исполнением требований пунктов 1-3 части 33 Закона о контрактной системе.</w:t>
      </w:r>
    </w:p>
    <w:p>
      <w:pPr>
        <w:pStyle w:val="Style17"/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20" w:right="20" w:firstLine="8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Учитывая вышеизложенное, Комиссия приходит к выводу, что проектом сметы контракта являются размещенные в ЕИС в составе проектной документации сметы.</w:t>
      </w:r>
    </w:p>
    <w:p>
      <w:pPr>
        <w:pStyle w:val="Style17"/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40" w:right="40" w:firstLine="8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 связи с чем, довод Заявителя также не находит своего подтверждения и является необоснованным.</w:t>
      </w:r>
    </w:p>
    <w:p>
      <w:pPr>
        <w:pStyle w:val="Style17"/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40" w:right="40" w:firstLine="8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Согласно второму доводу жалобы указанный в документации об аукционе график выполнения работ не учитывает требования приказа Минстроя России от 05.06.2018 № 336/пр «Об утверждении Методики составления графика выполнения строительно-монтажных работ и графика оплаты выполненных по контракту (договору), предметом которого являются строительство, реконструкция объектов капитального строительства, работ».</w:t>
      </w:r>
    </w:p>
    <w:p>
      <w:pPr>
        <w:pStyle w:val="Style17"/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40" w:right="0" w:firstLine="8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 части данного довода комиссия установила следующее.</w:t>
      </w:r>
    </w:p>
    <w:p>
      <w:pPr>
        <w:pStyle w:val="Style17"/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40" w:right="40" w:firstLine="8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Согласно Методике составления графика выполнения строительно-монтажных работ и графика оплаты выполненных по контракту (договору), предметом которого являются строительство, реконструкция объектов капитального строительства, работ, утвержденной приказом Минстроя России от 05.06.2018 № 336/пр (далее - Приказ № 336/пр, Методика) установлено, что дополнительно под табличной частью графика выполнения работ до полей для подписания его сторонами контракта в графике выполнения работ должны быть отражены даты, не позднее которых должны состояться следующие события:</w:t>
      </w:r>
    </w:p>
    <w:p>
      <w:pPr>
        <w:pStyle w:val="Style17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40" w:right="40" w:firstLine="8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подписание сторонами акта о соответствии состояния земельного участка (объекта капитального строительства, подлежащего реконструкции) условиям контракта (п. 2.9.1 Методики);</w:t>
      </w:r>
    </w:p>
    <w:p>
      <w:pPr>
        <w:pStyle w:val="Style17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40" w:right="40" w:firstLine="8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передача подрядчику копии разрешения на строительство, реконструкцию объекта; копии решения собственника имущества о его сносе (при необходимости); копии разрешения на вырубку зеленых и лесных насаждений; копии технических условий и разрешений на временное присоединение объекта к сетям инженерно- технического обеспечения в соответствии с проектом организации строительства (п. 2.9.2 Методики);</w:t>
      </w:r>
    </w:p>
    <w:p>
      <w:pPr>
        <w:pStyle w:val="Style17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40" w:right="40" w:firstLine="8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передача подрядчику копий документов, подтверждающих согласование производства отдельных работ, если необходимость такого согласования установлена законодательством Российской Федерации (п. 2.9.3 Методики);</w:t>
      </w:r>
    </w:p>
    <w:p>
      <w:pPr>
        <w:pStyle w:val="Style17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40" w:right="40" w:firstLine="8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подключение объекта к сетям инженерно-технического обеспечения в соответствии с техническими условиями, предусмотренными проектной документацией (п. 2.9.4 Методики);</w:t>
      </w:r>
    </w:p>
    <w:p>
      <w:pPr>
        <w:pStyle w:val="Style17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40" w:right="40" w:firstLine="8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подписание акта о соответствии состояния земельного участка условиям контракта при завершении строительства, реконструкции объекта (п. 2.9.5 Методики).</w:t>
      </w:r>
    </w:p>
    <w:p>
      <w:pPr>
        <w:pStyle w:val="Style17"/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40" w:right="0" w:firstLine="8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Согласно пояснениям, представленным Заказчиком.</w:t>
      </w:r>
    </w:p>
    <w:p>
      <w:pPr>
        <w:pStyle w:val="Style17"/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40" w:right="40" w:firstLine="8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 части пункта 2.9.1 Методики: выдача акта о соответствии земельного участка на строительство объекта не требуется, т.к. данный объект линейный и будет проходить по землям общего пользования.</w:t>
      </w:r>
    </w:p>
    <w:p>
      <w:pPr>
        <w:pStyle w:val="Style17"/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40" w:right="40" w:firstLine="8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 части пункта 2.9.2 Методики: разрешение на строительство не требуется (данное условие включено в Раздел 5 аукционной документации «Проект контракта» в пункт «Общие положения»);</w:t>
      </w:r>
    </w:p>
    <w:p>
      <w:pPr>
        <w:pStyle w:val="Style17"/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40" w:right="40" w:firstLine="8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Разрешение на вырубку зеленых и лесных насаждений не требуется, что указано в пояснительной записке в составе размещенной проектной документации электронного аукциона (раздел 1, лист 26), выдача разрешений на временное присоединение к сетям инженерно-технического обеспечения не установлена.</w:t>
      </w:r>
    </w:p>
    <w:p>
      <w:pPr>
        <w:pStyle w:val="Style17"/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40" w:right="40" w:firstLine="8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Временное присоединение объекта к сетям инженерно-технического обеспечения в соответствии с проектом организации строительства подрядчик осуществляет самостоятельно путем заключения прямых договоров с коммунальными службами, что предусмотрено пунктом 2.1 проекта контракта;</w:t>
      </w:r>
    </w:p>
    <w:p>
      <w:pPr>
        <w:pStyle w:val="Style17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20" w:right="360" w:firstLine="8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в части пункта 2.9.3 Методики: указанные работы не предусмотрены в рамках рассматриваемой закупки;</w:t>
      </w:r>
    </w:p>
    <w:p>
      <w:pPr>
        <w:pStyle w:val="Style17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20" w:right="360" w:firstLine="8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в части пункта 2.9.4 Методики: сроки подключения объекта к сетям инженерно-технического обеспечения указаны в п. 3.1 Графика выполнения строительно-монтажных работ (приложение № 4 к контракту);</w:t>
      </w:r>
    </w:p>
    <w:p>
      <w:pPr>
        <w:pStyle w:val="Style17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20" w:right="360" w:firstLine="8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в части пункта 2.9.5 Методики: подписание акта о возврате земельного участка не требуется, т.к. земельный участок не передается.</w:t>
      </w:r>
    </w:p>
    <w:p>
      <w:pPr>
        <w:pStyle w:val="Style17"/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20" w:right="360" w:firstLine="8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Из представленных документов и информации, размещенной в ЕИС, установлено, что в графике строительно-монтажных работ по объекту капитального строительства: «Строительство межпоселкового хозпитьевого водоснабжения для с. Верхнепогромное. Водовод в 2 линии» Приложения № 4 к контракту, содержатся сведения, предусмотренные Методикой, утвержденные Приказом № 336/пр, в связи с чем довод не находит своего подтверждения и является необоснованным.</w:t>
      </w:r>
    </w:p>
    <w:p>
      <w:pPr>
        <w:pStyle w:val="Style17"/>
        <w:widowControl w:val="0"/>
        <w:keepNext w:val="0"/>
        <w:keepLines w:val="0"/>
        <w:shd w:val="clear" w:color="auto" w:fill="auto"/>
        <w:bidi w:val="0"/>
        <w:jc w:val="both"/>
        <w:spacing w:before="0" w:after="287" w:line="299" w:lineRule="exact"/>
        <w:ind w:left="20" w:right="360" w:firstLine="8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Руководствуясь главой 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нужд», Комиссия</w:t>
      </w:r>
    </w:p>
    <w:p>
      <w:pPr>
        <w:pStyle w:val="Style17"/>
        <w:widowControl w:val="0"/>
        <w:keepNext w:val="0"/>
        <w:keepLines w:val="0"/>
        <w:shd w:val="clear" w:color="auto" w:fill="auto"/>
        <w:bidi w:val="0"/>
        <w:jc w:val="left"/>
        <w:spacing w:before="0" w:after="257" w:line="240" w:lineRule="exact"/>
        <w:ind w:left="42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РЕШИЛА:</w:t>
      </w:r>
    </w:p>
    <w:p>
      <w:pPr>
        <w:pStyle w:val="Style17"/>
        <w:widowControl w:val="0"/>
        <w:keepNext w:val="0"/>
        <w:keepLines w:val="0"/>
        <w:shd w:val="clear" w:color="auto" w:fill="auto"/>
        <w:bidi w:val="0"/>
        <w:jc w:val="both"/>
        <w:spacing w:before="0" w:after="1490" w:line="302" w:lineRule="exact"/>
        <w:ind w:left="20" w:right="360" w:firstLine="8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Признать жалобу ООО «Джули» вх. 1214 от 09.02.2021 на положения документации при проведении закупки «Строительство межпоселкового хозпитьевого водоснабжения для с. Верхнепогромное. Водовод в 2 линии» (номер извещения 0329200062221000073) необоснованной.</w:t>
      </w:r>
    </w:p>
    <w:p>
      <w:pPr>
        <w:pStyle w:val="Style17"/>
        <w:widowControl w:val="0"/>
        <w:keepNext w:val="0"/>
        <w:keepLines w:val="0"/>
        <w:shd w:val="clear" w:color="auto" w:fill="auto"/>
        <w:bidi w:val="0"/>
        <w:jc w:val="left"/>
        <w:spacing w:before="0" w:after="300" w:line="240" w:lineRule="exact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Председатель Комиссии</w:t>
      </w:r>
    </w:p>
    <w:p>
      <w:pPr>
        <w:pStyle w:val="Style17"/>
        <w:widowControl w:val="0"/>
        <w:keepNext w:val="0"/>
        <w:keepLines w:val="0"/>
        <w:shd w:val="clear" w:color="auto" w:fill="auto"/>
        <w:bidi w:val="0"/>
        <w:jc w:val="left"/>
        <w:spacing w:before="0" w:after="860" w:line="240" w:lineRule="exact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Члены Комиссии</w:t>
      </w:r>
    </w:p>
    <w:p>
      <w:pPr>
        <w:pStyle w:val="Style17"/>
        <w:widowControl w:val="0"/>
        <w:keepNext w:val="0"/>
        <w:keepLines w:val="0"/>
        <w:shd w:val="clear" w:color="auto" w:fill="auto"/>
        <w:bidi w:val="0"/>
        <w:jc w:val="left"/>
        <w:spacing w:before="0" w:after="2938" w:line="299" w:lineRule="exact"/>
        <w:ind w:left="240" w:right="240" w:firstLine="94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Решение Комиссии может быть обжаловано в Арбитражный суд Волгоградской области в течение трех месяцев со дня его принятия.</w:t>
      </w:r>
    </w:p>
    <w:p>
      <w:pPr>
        <w:pStyle w:val="Style19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20" w:right="248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Гейбатова А. Д. </w:t>
      </w:r>
      <w:r>
        <w:rPr>
          <w:rStyle w:val="CharStyle21"/>
        </w:rPr>
        <w:t>24</w:t>
      </w:r>
      <w:r>
        <w:rPr>
          <w:rStyle w:val="CharStyle22"/>
        </w:rPr>
        <w:t>-</w:t>
      </w:r>
      <w:r>
        <w:rPr>
          <w:rStyle w:val="CharStyle21"/>
        </w:rPr>
        <w:t>22-64</w:t>
      </w:r>
      <w:r>
        <w:br w:type="page"/>
      </w:r>
    </w:p>
    <w:sectPr>
      <w:type w:val="continuous"/>
      <w:pgSz w:w="11906" w:h="16838"/>
      <w:pgMar w:top="1310" w:left="818" w:right="789" w:bottom="842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bullet"/>
      <w:lvlText w:val="-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4"/>
        <w:szCs w:val="24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2">
    <w:multiLevelType w:val="multilevel"/>
    <w:lvl w:ilvl="0">
      <w:start w:val="3"/>
      <w:numFmt w:val="decimal"/>
      <w:lvlText w:val="%1)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4"/>
        <w:szCs w:val="24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num w:numId="1">
    <w:abstractNumId w:val="0"/>
  </w:num>
  <w:num w:numId="3">
    <w:abstractNumId w:val="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 (2)_"/>
    <w:basedOn w:val="DefaultParagraphFont"/>
    <w:link w:val="Style3"/>
    <w:rPr>
      <w:b/>
      <w:bCs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</w:rPr>
  </w:style>
  <w:style w:type="character" w:customStyle="1" w:styleId="CharStyle6">
    <w:name w:val="Основной текст (3)_"/>
    <w:basedOn w:val="DefaultParagraphFont"/>
    <w:link w:val="Style5"/>
    <w:rPr>
      <w:b w:val="0"/>
      <w:bCs w:val="0"/>
      <w:i w:val="0"/>
      <w:iCs w:val="0"/>
      <w:u w:val="none"/>
      <w:strike w:val="0"/>
      <w:smallCaps w:val="0"/>
      <w:sz w:val="16"/>
      <w:szCs w:val="16"/>
      <w:rFonts w:ascii="Times New Roman" w:eastAsia="Times New Roman" w:hAnsi="Times New Roman" w:cs="Times New Roman"/>
    </w:rPr>
  </w:style>
  <w:style w:type="character" w:customStyle="1" w:styleId="CharStyle7">
    <w:name w:val="Основной текст (3) + 4,5 pt,Курсив"/>
    <w:basedOn w:val="CharStyle6"/>
    <w:rPr>
      <w:lang w:val="ru-RU" w:eastAsia="ru-RU" w:bidi="ru-RU"/>
      <w:i/>
      <w:iCs/>
      <w:sz w:val="9"/>
      <w:szCs w:val="9"/>
      <w:w w:val="100"/>
      <w:spacing w:val="0"/>
      <w:color w:val="000000"/>
      <w:position w:val="0"/>
    </w:rPr>
  </w:style>
  <w:style w:type="character" w:customStyle="1" w:styleId="CharStyle9">
    <w:name w:val="Заголовок №1_"/>
    <w:basedOn w:val="DefaultParagraphFont"/>
    <w:link w:val="Style8"/>
    <w:rPr>
      <w:b w:val="0"/>
      <w:bCs w:val="0"/>
      <w:i/>
      <w:iCs/>
      <w:u w:val="none"/>
      <w:strike w:val="0"/>
      <w:smallCaps w:val="0"/>
      <w:sz w:val="40"/>
      <w:szCs w:val="40"/>
      <w:rFonts w:ascii="Times New Roman" w:eastAsia="Times New Roman" w:hAnsi="Times New Roman" w:cs="Times New Roman"/>
    </w:rPr>
  </w:style>
  <w:style w:type="character" w:customStyle="1" w:styleId="CharStyle10">
    <w:name w:val="Заголовок №1"/>
    <w:basedOn w:val="CharStyle9"/>
    <w:rPr>
      <w:lang w:val="ru-RU" w:eastAsia="ru-RU" w:bidi="ru-RU"/>
      <w:u w:val="single"/>
      <w:w w:val="100"/>
      <w:spacing w:val="0"/>
      <w:color w:val="000000"/>
      <w:position w:val="0"/>
    </w:rPr>
  </w:style>
  <w:style w:type="character" w:customStyle="1" w:styleId="CharStyle11">
    <w:name w:val="Заголовок №1 + 11 pt,Не курсив"/>
    <w:basedOn w:val="CharStyle9"/>
    <w:rPr>
      <w:lang w:val="ru-RU" w:eastAsia="ru-RU" w:bidi="ru-RU"/>
      <w:i/>
      <w:iCs/>
      <w:sz w:val="22"/>
      <w:szCs w:val="22"/>
      <w:w w:val="100"/>
      <w:spacing w:val="0"/>
      <w:color w:val="000000"/>
      <w:position w:val="0"/>
    </w:rPr>
  </w:style>
  <w:style w:type="character" w:customStyle="1" w:styleId="CharStyle12">
    <w:name w:val="Заголовок №1 + 11 pt,Не курсив"/>
    <w:basedOn w:val="CharStyle9"/>
    <w:rPr>
      <w:lang w:val="ru-RU" w:eastAsia="ru-RU" w:bidi="ru-RU"/>
      <w:i/>
      <w:iCs/>
      <w:sz w:val="22"/>
      <w:szCs w:val="22"/>
      <w:w w:val="100"/>
      <w:spacing w:val="0"/>
      <w:color w:val="000000"/>
      <w:position w:val="0"/>
    </w:rPr>
  </w:style>
  <w:style w:type="character" w:customStyle="1" w:styleId="CharStyle14">
    <w:name w:val="Основной текст (4)_"/>
    <w:basedOn w:val="DefaultParagraphFont"/>
    <w:link w:val="Style13"/>
    <w:rPr>
      <w:b w:val="0"/>
      <w:bCs w:val="0"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character" w:customStyle="1" w:styleId="CharStyle16">
    <w:name w:val="Основной текст (5)_"/>
    <w:basedOn w:val="DefaultParagraphFont"/>
    <w:link w:val="Style15"/>
    <w:rPr>
      <w:b/>
      <w:bCs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character" w:customStyle="1" w:styleId="CharStyle18">
    <w:name w:val="Основной текст_"/>
    <w:basedOn w:val="DefaultParagraphFont"/>
    <w:link w:val="Style17"/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character" w:customStyle="1" w:styleId="CharStyle20">
    <w:name w:val="Основной текст (6)_"/>
    <w:basedOn w:val="DefaultParagraphFont"/>
    <w:link w:val="Style19"/>
    <w:rPr>
      <w:b w:val="0"/>
      <w:bCs w:val="0"/>
      <w:i w:val="0"/>
      <w:iCs w:val="0"/>
      <w:u w:val="none"/>
      <w:strike w:val="0"/>
      <w:smallCaps w:val="0"/>
      <w:sz w:val="19"/>
      <w:szCs w:val="19"/>
      <w:rFonts w:ascii="Times New Roman" w:eastAsia="Times New Roman" w:hAnsi="Times New Roman" w:cs="Times New Roman"/>
    </w:rPr>
  </w:style>
  <w:style w:type="character" w:customStyle="1" w:styleId="CharStyle21">
    <w:name w:val="Основной текст (6) + 9 pt"/>
    <w:basedOn w:val="CharStyle20"/>
    <w:rPr>
      <w:lang w:val="ru-RU" w:eastAsia="ru-RU" w:bidi="ru-RU"/>
      <w:sz w:val="18"/>
      <w:szCs w:val="18"/>
      <w:w w:val="100"/>
      <w:spacing w:val="0"/>
      <w:color w:val="000000"/>
      <w:position w:val="0"/>
    </w:rPr>
  </w:style>
  <w:style w:type="character" w:customStyle="1" w:styleId="CharStyle22">
    <w:name w:val="Основной текст (6) + 4 pt"/>
    <w:basedOn w:val="CharStyle20"/>
    <w:rPr>
      <w:lang w:val="ru-RU" w:eastAsia="ru-RU" w:bidi="ru-RU"/>
      <w:sz w:val="8"/>
      <w:szCs w:val="8"/>
      <w:w w:val="100"/>
      <w:spacing w:val="0"/>
      <w:color w:val="000000"/>
      <w:position w:val="0"/>
    </w:rPr>
  </w:style>
  <w:style w:type="paragraph" w:customStyle="1" w:styleId="Style3">
    <w:name w:val="Основной текст (2)"/>
    <w:basedOn w:val="Normal"/>
    <w:link w:val="CharStyle4"/>
    <w:pPr>
      <w:widowControl w:val="0"/>
      <w:shd w:val="clear" w:color="auto" w:fill="FFFFFF"/>
      <w:jc w:val="center"/>
      <w:spacing w:after="180" w:line="252" w:lineRule="exact"/>
    </w:pPr>
    <w:rPr>
      <w:b/>
      <w:bCs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</w:rPr>
  </w:style>
  <w:style w:type="paragraph" w:customStyle="1" w:styleId="Style5">
    <w:name w:val="Основной текст (3)"/>
    <w:basedOn w:val="Normal"/>
    <w:link w:val="CharStyle6"/>
    <w:pPr>
      <w:widowControl w:val="0"/>
      <w:shd w:val="clear" w:color="auto" w:fill="FFFFFF"/>
      <w:spacing w:before="120" w:after="180" w:line="205" w:lineRule="exact"/>
    </w:pPr>
    <w:rPr>
      <w:b w:val="0"/>
      <w:bCs w:val="0"/>
      <w:i w:val="0"/>
      <w:iCs w:val="0"/>
      <w:u w:val="none"/>
      <w:strike w:val="0"/>
      <w:smallCaps w:val="0"/>
      <w:sz w:val="16"/>
      <w:szCs w:val="16"/>
      <w:rFonts w:ascii="Times New Roman" w:eastAsia="Times New Roman" w:hAnsi="Times New Roman" w:cs="Times New Roman"/>
    </w:rPr>
  </w:style>
  <w:style w:type="paragraph" w:customStyle="1" w:styleId="Style8">
    <w:name w:val="Заголовок №1"/>
    <w:basedOn w:val="Normal"/>
    <w:link w:val="CharStyle9"/>
    <w:pPr>
      <w:widowControl w:val="0"/>
      <w:shd w:val="clear" w:color="auto" w:fill="FFFFFF"/>
      <w:outlineLvl w:val="0"/>
      <w:spacing w:before="180" w:after="180" w:line="0" w:lineRule="exact"/>
    </w:pPr>
    <w:rPr>
      <w:b w:val="0"/>
      <w:bCs w:val="0"/>
      <w:i/>
      <w:iCs/>
      <w:u w:val="none"/>
      <w:strike w:val="0"/>
      <w:smallCaps w:val="0"/>
      <w:sz w:val="40"/>
      <w:szCs w:val="40"/>
      <w:rFonts w:ascii="Times New Roman" w:eastAsia="Times New Roman" w:hAnsi="Times New Roman" w:cs="Times New Roman"/>
    </w:rPr>
  </w:style>
  <w:style w:type="paragraph" w:customStyle="1" w:styleId="Style13">
    <w:name w:val="Основной текст (4)"/>
    <w:basedOn w:val="Normal"/>
    <w:link w:val="CharStyle14"/>
    <w:pPr>
      <w:widowControl w:val="0"/>
      <w:shd w:val="clear" w:color="auto" w:fill="FFFFFF"/>
      <w:jc w:val="both"/>
      <w:spacing w:before="180" w:line="0" w:lineRule="exact"/>
    </w:pPr>
    <w:rPr>
      <w:b w:val="0"/>
      <w:bCs w:val="0"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paragraph" w:customStyle="1" w:styleId="Style15">
    <w:name w:val="Основной текст (5)"/>
    <w:basedOn w:val="Normal"/>
    <w:link w:val="CharStyle16"/>
    <w:pPr>
      <w:widowControl w:val="0"/>
      <w:shd w:val="clear" w:color="auto" w:fill="FFFFFF"/>
      <w:spacing w:line="274" w:lineRule="exact"/>
    </w:pPr>
    <w:rPr>
      <w:b/>
      <w:bCs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paragraph" w:customStyle="1" w:styleId="Style17">
    <w:name w:val="Основной текст"/>
    <w:basedOn w:val="Normal"/>
    <w:link w:val="CharStyle18"/>
    <w:pPr>
      <w:widowControl w:val="0"/>
      <w:shd w:val="clear" w:color="auto" w:fill="FFFFFF"/>
      <w:spacing w:line="274" w:lineRule="exact"/>
    </w:pPr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paragraph" w:customStyle="1" w:styleId="Style19">
    <w:name w:val="Основной текст (6)"/>
    <w:basedOn w:val="Normal"/>
    <w:link w:val="CharStyle20"/>
    <w:pPr>
      <w:widowControl w:val="0"/>
      <w:shd w:val="clear" w:color="auto" w:fill="FFFFFF"/>
      <w:spacing w:before="2880" w:line="227" w:lineRule="exact"/>
    </w:pPr>
    <w:rPr>
      <w:b w:val="0"/>
      <w:bCs w:val="0"/>
      <w:i w:val="0"/>
      <w:iCs w:val="0"/>
      <w:u w:val="none"/>
      <w:strike w:val="0"/>
      <w:smallCaps w:val="0"/>
      <w:sz w:val="19"/>
      <w:szCs w:val="19"/>
      <w:rFonts w:ascii="Times New Roman" w:eastAsia="Times New Roman" w:hAnsi="Times New Roman" w:cs="Times New Roman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