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225" w:left="2476" w:right="8445" w:bottom="125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5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58" w:line="256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12.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widowControl w:val="0"/>
        <w:keepNext/>
        <w:keepLines/>
        <w:shd w:val="clear" w:color="auto" w:fill="auto"/>
        <w:bidi w:val="0"/>
        <w:jc w:val="left"/>
        <w:spacing w:before="0" w:after="0" w:line="540" w:lineRule="exact"/>
        <w:ind w:left="40" w:right="0" w:firstLine="0"/>
      </w:pPr>
      <w:bookmarkStart w:id="0" w:name="bookmark0"/>
      <w:r>
        <w:rPr>
          <w:rStyle w:val="CharStyle9"/>
          <w:i/>
          <w:iCs/>
        </w:rPr>
        <w:t>/лял.лял/</w:t>
      </w:r>
      <w:r>
        <w:rPr>
          <w:rStyle w:val="CharStyle10"/>
          <w:i w:val="0"/>
          <w:iCs w:val="0"/>
        </w:rPr>
        <w:t xml:space="preserve"> </w:t>
      </w:r>
      <w:r>
        <w:rPr>
          <w:rStyle w:val="CharStyle11"/>
          <w:i w:val="0"/>
          <w:iCs w:val="0"/>
        </w:rPr>
        <w:t>№</w:t>
      </w:r>
      <w:bookmarkEnd w:id="0"/>
    </w:p>
    <w:p>
      <w:pPr>
        <w:pStyle w:val="Style12"/>
        <w:tabs>
          <w:tab w:leader="hyphen" w:pos="4050" w:val="left"/>
        </w:tabs>
        <w:widowControl w:val="0"/>
        <w:keepNext w:val="0"/>
        <w:keepLines w:val="0"/>
        <w:shd w:val="clear" w:color="auto" w:fill="auto"/>
        <w:bidi w:val="0"/>
        <w:spacing w:before="0" w:after="74" w:line="13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  </w:t>
      </w:r>
      <w:r>
        <w:rPr>
          <w:rStyle w:val="CharStyle14"/>
        </w:rPr>
        <w:t>/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p>
      <w:pPr>
        <w:pStyle w:val="Style15"/>
        <w:tabs>
          <w:tab w:leader="none" w:pos="2063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«Фокус»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Кирова, д. 9, кв. 112,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18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Екатеринбур, 620028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fokus_l </w:t>
      </w:r>
      <w:r>
        <w:fldChar w:fldCharType="begin"/>
      </w:r>
      <w:r>
        <w:rPr>
          <w:color w:val="000000"/>
        </w:rPr>
        <w:instrText> HYPERLINK "mailto:96@mail.ru"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96@mail.ru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70" w:lineRule="exact"/>
        <w:ind w:left="20" w:right="0" w:firstLine="0"/>
        <w:sectPr>
          <w:type w:val="continuous"/>
          <w:pgSz w:w="11906" w:h="16838"/>
          <w:pgMar w:top="1225" w:left="989" w:right="2191" w:bottom="1254" w:header="0" w:footer="3" w:gutter="0"/>
          <w:rtlGutter w:val="0"/>
          <w:cols w:num="2" w:space="102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Комитет по строительству и жилищно- коммунальному хозяйству администрации Среднеахтубинского муниципального района Волгоградской области ул. Ленина, 65, р.п. Средняя Ахтуба, Волгоградская обл., 404143 </w:t>
      </w:r>
      <w:r>
        <w:fldChar w:fldCharType="begin"/>
      </w:r>
      <w:r>
        <w:rPr>
          <w:color w:val="000000"/>
        </w:rPr>
        <w:instrText> HYPERLINK "mailto:gko-sahtyba@yandex.ru"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gko-sahtyba@yandex.ru</w:t>
      </w:r>
      <w:r>
        <w:fldChar w:fldCharType="end"/>
      </w:r>
    </w:p>
    <w:p>
      <w:pPr>
        <w:widowControl w:val="0"/>
        <w:spacing w:before="15" w:after="15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440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ГКУ Волгоградской области «Центр организации закупок» ул. Новороссийская, д. 15, Волгоград, 400066 </w:t>
      </w:r>
      <w:r>
        <w:fldChar w:fldCharType="begin"/>
      </w:r>
      <w:r>
        <w:rPr>
          <w:color w:val="000000"/>
        </w:rPr>
        <w:instrText> HYPERLINK "mailto:coz@volganet.ru"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coz@volganet.ru</w:t>
      </w:r>
      <w:r>
        <w:fldChar w:fldCharType="end"/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1180"/>
        <w:ind w:left="4400" w:right="17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Акционерное общество «Электронные торговые системы» 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87" w:line="299" w:lineRule="exact"/>
        <w:ind w:left="1980" w:right="2000" w:firstLine="22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034/06/105-109/2021 о нарушении законодательства о контрактной системе</w:t>
      </w:r>
    </w:p>
    <w:p>
      <w:pPr>
        <w:pStyle w:val="Style19"/>
        <w:tabs>
          <w:tab w:leader="none" w:pos="973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85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15 февраля 2021 года</w:t>
        <w:tab/>
        <w:t>Волгоград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6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— Управление) по контролю за соблюдением законодательства о контрактной системе в составе: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Литвинова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P.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А. - председателя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Моисеева С.В. - члена Комиссии, заместителя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Гейбатовой А.Д. - члена Комиссии, старшего государственного инспектора отдела контроля государственных и муниципальных закупок, недобросовестной конкуренции и рекламы,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 участием: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Ленковой М.Н. - представителя ГКУ Волгоградской области «Центр организации закупок» на основании доверенности от 11.01.2020 № 2;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Пономаревой И.И. - представителя комитета по строительству и жилищно- коммунальному хозяйству администрации Среднеахтубинского муниципального района волгоградской области на основании доверенности от 12.02.2021 № 2,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625" w:line="346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«Фокус» вх. 1213 от 09.02.2021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25" w:line="240" w:lineRule="exact"/>
        <w:ind w:left="438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Управление 09.02.2021 вх. № 1213 поступила жалоба ООО «Фокус» (далее - Заявитель) на положения документации аукциона в электронной форме «Строительство межпоселкового хозпитьевого водоснабжения для с. Верхнепогромное. Водовод в 2 линии» (номер извещения 0329200062221000073).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9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документами,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Управления пришла к следующим выводам.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01.02.2021 были опубликованы извещение и документация о проведении закупки «Строительство межпоселкового хозпитьевого водоснабжения для с. Верхнепогромное. Водовод в 2 линии» (номер извещения 0329200062221000073). Заказчик - комитет по строительству и жилищно - коммунальному хозяйству администрации Среднеахтубинского муниципального района Волгоградской области (далее - Заказчик). Начальная (максимальная) цена контракта 31 204 372,50 российских рублей (далее - НМЦК). На этапе рассмотрения первых частей заявок, приняло участие 7 участников. До участия в электронном аукционе было допущено 6 участников. По итогам проведения аукциона снижение НМЦК составило 25 %.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Заявителя, проектная документация в полном объеме отсутствует в составе документации о закупке.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части 1 статьи 33 Закона о контрактной системе документация о закупке должна содержать наименование и описание объекта закупки и условия контракта, при этом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со статьей 48 Градостроительного кодекса Российской Федерации проектная документация представляет собой документацию, содержащую материалы в текстовой форме и в виде карт (схем) и определяющую архитектурные, функционально-технологические, конструктивные и инженерно- технические решения для обеспечения строительства, реконструкции объектов капитального строительства, их частей, капитального ремонта.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Проектная документация определяет объем, содержание работ в другие предъявляемые к ним требования, при этом смета является частью проектной документации.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документацией, определяющей объем, содержание работ и другие предъявляемые к ним требования, и со сметой, определяющей цену работ.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6 статьи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строительства, в том числе в соответствии с проектной документацией.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анализа Положения о составе разделов проектной документации и требованиях к их содержанию следует, что проектная документация состоит из текстовой части, которая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решения; из графической части, которая отображает принятые технические и иные решения и выполняется в виде чертежей, схем, планов и других документов в графической форме, иными словами содержит требования к результату выполняемых работ.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заседании Комиссии, Заказчик пояснил, что проектно-сметная документация в полном объеме в составе документации об электронном аукционе размещена в единой информационной системе.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Кроме того, в соответствии с ч. 9 ст. 105 Закона о контрактной системе, в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540"/>
        <w:sectPr>
          <w:type w:val="continuous"/>
          <w:pgSz w:w="11906" w:h="16838"/>
          <w:pgMar w:top="1467" w:left="967" w:right="909" w:bottom="98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Следовательно, бремя доказывания при рассмотрении жалобы в антимонопольном органе Законом о контрактной системе возлагается на лицо, подавшее жалобу на соответствующие действия (бездействия) заказчика.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380" w:right="4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Вместе с тем, Заявитель на заседании комиссии не явился и не указал какая часть проектно-сметной документации отсутствует в ЕИС.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380" w:right="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данный довод Заявителя не находит своего подтверждения.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382" w:line="342" w:lineRule="exact"/>
        <w:ind w:left="380" w:right="44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главой 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280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645" w:line="346" w:lineRule="exact"/>
        <w:ind w:left="380" w:right="300" w:firstLine="5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«Фокус» вх. 1213 от 09.02.2021 на положения документации при проведении закупки «Строительство межпоселкового хозпитьевого водоснабжения для с. Верхнепогромное. Водовод в 2 линии» (номер извещения 0329200062221000073) необоснованной.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35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86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332" w:line="295" w:lineRule="exact"/>
        <w:ind w:left="240" w:right="300" w:firstLine="9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27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 ейбатова А. Д. </w:t>
      </w:r>
      <w:r>
        <w:rPr>
          <w:rStyle w:val="CharStyle23"/>
        </w:rPr>
        <w:t>24-22-64</w:t>
      </w:r>
    </w:p>
    <w:sectPr>
      <w:type w:val="continuous"/>
      <w:pgSz w:w="11906" w:h="16838"/>
      <w:pgMar w:top="1145" w:left="823" w:right="798" w:bottom="65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Заголовок №1_"/>
    <w:basedOn w:val="DefaultParagraphFont"/>
    <w:link w:val="Style7"/>
    <w:rPr>
      <w:b w:val="0"/>
      <w:bCs w:val="0"/>
      <w:i/>
      <w:iCs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10"/>
    </w:rPr>
  </w:style>
  <w:style w:type="character" w:customStyle="1" w:styleId="CharStyle9">
    <w:name w:val="Заголовок №1"/>
    <w:basedOn w:val="CharStyle8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Заголовок №1 + 11 pt,Не курсив,Интервал 0 pt"/>
    <w:basedOn w:val="CharStyle8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1">
    <w:name w:val="Заголовок №1 + 11 pt,Не курсив,Интервал 0 pt"/>
    <w:basedOn w:val="CharStyle8"/>
    <w:rPr>
      <w:lang w:val="ru-RU" w:eastAsia="ru-RU" w:bidi="ru-RU"/>
      <w:i/>
      <w:iCs/>
      <w:sz w:val="22"/>
      <w:szCs w:val="22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13"/>
      <w:szCs w:val="13"/>
      <w:rFonts w:ascii="Consolas" w:eastAsia="Consolas" w:hAnsi="Consolas" w:cs="Consolas"/>
    </w:rPr>
  </w:style>
  <w:style w:type="character" w:customStyle="1" w:styleId="CharStyle14">
    <w:name w:val="Основной текст (4)"/>
    <w:basedOn w:val="CharStyle1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 (5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8">
    <w:name w:val="Основной текст (6)_"/>
    <w:basedOn w:val="DefaultParagraphFont"/>
    <w:link w:val="Style1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2">
    <w:name w:val="Основной текст (7)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3">
    <w:name w:val="Основной текст (7) + 8,5 pt"/>
    <w:basedOn w:val="CharStyle22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48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240" w:line="209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Заголовок №1"/>
    <w:basedOn w:val="Normal"/>
    <w:link w:val="CharStyle8"/>
    <w:pPr>
      <w:widowControl w:val="0"/>
      <w:shd w:val="clear" w:color="auto" w:fill="FFFFFF"/>
      <w:outlineLvl w:val="0"/>
      <w:spacing w:before="240" w:line="0" w:lineRule="exact"/>
    </w:pPr>
    <w:rPr>
      <w:b w:val="0"/>
      <w:bCs w:val="0"/>
      <w:i/>
      <w:iCs/>
      <w:u w:val="none"/>
      <w:strike w:val="0"/>
      <w:smallCaps w:val="0"/>
      <w:sz w:val="54"/>
      <w:szCs w:val="54"/>
      <w:rFonts w:ascii="Times New Roman" w:eastAsia="Times New Roman" w:hAnsi="Times New Roman" w:cs="Times New Roman"/>
      <w:spacing w:val="-10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both"/>
      <w:spacing w:after="12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Consolas" w:eastAsia="Consolas" w:hAnsi="Consolas" w:cs="Consolas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FFFFFF"/>
      <w:jc w:val="both"/>
      <w:spacing w:before="12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7">
    <w:name w:val="Основной текст (6)"/>
    <w:basedOn w:val="Normal"/>
    <w:link w:val="CharStyle18"/>
    <w:pPr>
      <w:widowControl w:val="0"/>
      <w:shd w:val="clear" w:color="auto" w:fill="FFFFFF"/>
      <w:spacing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spacing w:before="528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