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numPr>
          <w:ilvl w:val="0"/>
          <w:numId w:val="1"/>
        </w:numPr>
        <w:tabs>
          <w:tab w:leader="none" w:pos="5629" w:val="left"/>
        </w:tabs>
        <w:widowControl w:val="0"/>
        <w:keepNext w:val="0"/>
        <w:keepLines w:val="0"/>
        <w:shd w:val="clear" w:color="auto" w:fill="auto"/>
        <w:bidi w:val="0"/>
        <w:spacing w:before="0" w:after="247" w:line="260" w:lineRule="exact"/>
        <w:ind w:left="5320" w:right="0" w:firstLine="0"/>
      </w:pPr>
      <w:r>
        <w:rPr>
          <w:lang w:val="ru-RU" w:eastAsia="ru-RU" w:bidi="ru-RU"/>
          <w:w w:val="100"/>
          <w:spacing w:val="0"/>
          <w:color w:val="000000"/>
          <w:position w:val="0"/>
        </w:rPr>
        <w:t>ФГБУ «ФКП Росреестра»</w:t>
      </w:r>
    </w:p>
    <w:p>
      <w:pPr>
        <w:pStyle w:val="Style5"/>
        <w:widowControl w:val="0"/>
        <w:keepNext w:val="0"/>
        <w:keepLines w:val="0"/>
        <w:shd w:val="clear" w:color="auto" w:fill="auto"/>
        <w:bidi w:val="0"/>
        <w:jc w:val="left"/>
        <w:spacing w:before="0" w:after="286" w:line="317" w:lineRule="exact"/>
        <w:ind w:left="5320" w:right="360" w:firstLine="0"/>
      </w:pPr>
      <w:r>
        <w:rPr>
          <w:lang w:val="ru-RU" w:eastAsia="ru-RU" w:bidi="ru-RU"/>
          <w:w w:val="100"/>
          <w:spacing w:val="0"/>
          <w:color w:val="000000"/>
          <w:position w:val="0"/>
        </w:rPr>
        <w:t xml:space="preserve">Орликов пер., д. 10, стр. 1, г. Москва, 107078, </w:t>
      </w:r>
      <w:r>
        <w:fldChar w:fldCharType="begin"/>
      </w:r>
      <w:r>
        <w:rPr>
          <w:color w:val="000000"/>
        </w:rPr>
        <w:instrText> HYPERLINK "mailto:DenisovDG@kadastr.ru" </w:instrText>
      </w:r>
      <w:r>
        <w:fldChar w:fldCharType="separate"/>
      </w:r>
      <w:r>
        <w:rPr>
          <w:rStyle w:val="Hyperlink"/>
          <w:lang w:val="en-US" w:eastAsia="en-US" w:bidi="en-US"/>
          <w:w w:val="100"/>
          <w:spacing w:val="0"/>
          <w:position w:val="0"/>
        </w:rPr>
        <w:t>DenisovDG@kadastr.ru</w:t>
      </w:r>
      <w:r>
        <w:fldChar w:fldCharType="end"/>
      </w:r>
    </w:p>
    <w:p>
      <w:pPr>
        <w:pStyle w:val="Style5"/>
        <w:numPr>
          <w:ilvl w:val="0"/>
          <w:numId w:val="1"/>
        </w:numPr>
        <w:widowControl w:val="0"/>
        <w:keepNext w:val="0"/>
        <w:keepLines w:val="0"/>
        <w:shd w:val="clear" w:color="auto" w:fill="auto"/>
        <w:bidi w:val="0"/>
        <w:spacing w:before="0" w:after="243" w:line="260" w:lineRule="exact"/>
        <w:ind w:left="5320" w:right="0" w:firstLine="0"/>
      </w:pPr>
      <w:r>
        <w:rPr>
          <w:lang w:val="ru-RU" w:eastAsia="ru-RU" w:bidi="ru-RU"/>
          <w:w w:val="100"/>
          <w:spacing w:val="0"/>
          <w:color w:val="000000"/>
          <w:position w:val="0"/>
        </w:rPr>
        <w:t xml:space="preserve"> ООО «Моризо Диджитал»</w:t>
      </w:r>
    </w:p>
    <w:p>
      <w:pPr>
        <w:pStyle w:val="Style5"/>
        <w:widowControl w:val="0"/>
        <w:keepNext w:val="0"/>
        <w:keepLines w:val="0"/>
        <w:shd w:val="clear" w:color="auto" w:fill="auto"/>
        <w:bidi w:val="0"/>
        <w:jc w:val="left"/>
        <w:spacing w:before="0" w:after="289" w:line="322" w:lineRule="exact"/>
        <w:ind w:left="5320" w:right="20" w:firstLine="0"/>
      </w:pPr>
      <w:r>
        <w:rPr>
          <w:lang w:val="ru-RU" w:eastAsia="ru-RU" w:bidi="ru-RU"/>
          <w:w w:val="100"/>
          <w:spacing w:val="0"/>
          <w:color w:val="000000"/>
          <w:position w:val="0"/>
        </w:rPr>
        <w:t xml:space="preserve">ул. Нестерова, д. 5, пом. 24, г. Нижний Новгород, 603005, </w:t>
      </w:r>
      <w:r>
        <w:fldChar w:fldCharType="begin"/>
      </w:r>
      <w:r>
        <w:rPr>
          <w:color w:val="000000"/>
        </w:rPr>
        <w:instrText> HYPERLINK "mailto:a.kolchin@e-promo.ru" </w:instrText>
      </w:r>
      <w:r>
        <w:fldChar w:fldCharType="separate"/>
      </w:r>
      <w:r>
        <w:rPr>
          <w:rStyle w:val="Hyperlink"/>
          <w:lang w:val="en-US" w:eastAsia="en-US" w:bidi="en-US"/>
          <w:w w:val="100"/>
          <w:spacing w:val="0"/>
          <w:position w:val="0"/>
        </w:rPr>
        <w:t>a.kolchin@e-promo.ru</w:t>
      </w:r>
      <w:r>
        <w:fldChar w:fldCharType="end"/>
      </w:r>
    </w:p>
    <w:p>
      <w:pPr>
        <w:pStyle w:val="Style5"/>
        <w:numPr>
          <w:ilvl w:val="0"/>
          <w:numId w:val="1"/>
        </w:numPr>
        <w:widowControl w:val="0"/>
        <w:keepNext w:val="0"/>
        <w:keepLines w:val="0"/>
        <w:shd w:val="clear" w:color="auto" w:fill="auto"/>
        <w:bidi w:val="0"/>
        <w:spacing w:before="0" w:after="243" w:line="260" w:lineRule="exact"/>
        <w:ind w:left="5320" w:right="0" w:firstLine="0"/>
      </w:pPr>
      <w:r>
        <w:rPr>
          <w:lang w:val="ru-RU" w:eastAsia="ru-RU" w:bidi="ru-RU"/>
          <w:w w:val="100"/>
          <w:spacing w:val="0"/>
          <w:color w:val="000000"/>
          <w:position w:val="0"/>
        </w:rPr>
        <w:t xml:space="preserve"> АО «ЭТС»</w:t>
      </w:r>
    </w:p>
    <w:p>
      <w:pPr>
        <w:pStyle w:val="Style5"/>
        <w:widowControl w:val="0"/>
        <w:keepNext w:val="0"/>
        <w:keepLines w:val="0"/>
        <w:shd w:val="clear" w:color="auto" w:fill="auto"/>
        <w:bidi w:val="0"/>
        <w:jc w:val="left"/>
        <w:spacing w:before="0" w:after="360" w:line="322" w:lineRule="exact"/>
        <w:ind w:left="5320" w:right="360" w:firstLine="0"/>
      </w:pPr>
      <w:r>
        <w:rPr>
          <w:lang w:val="ru-RU" w:eastAsia="ru-RU" w:bidi="ru-RU"/>
          <w:w w:val="100"/>
          <w:spacing w:val="0"/>
          <w:color w:val="000000"/>
          <w:position w:val="0"/>
        </w:rPr>
        <w:t xml:space="preserve">Тестовская ул., д. 10, эт. 25, г. Москва, 123112, </w:t>
      </w:r>
      <w:r>
        <w:fldChar w:fldCharType="begin"/>
      </w:r>
      <w:r>
        <w:rPr>
          <w:color w:val="000000"/>
        </w:rPr>
        <w:instrText> HYPERLINK "mailto:info@etpz.ru" </w:instrText>
      </w:r>
      <w:r>
        <w:fldChar w:fldCharType="separate"/>
      </w:r>
      <w:r>
        <w:rPr>
          <w:rStyle w:val="Hyperlink"/>
          <w:lang w:val="en-US" w:eastAsia="en-US" w:bidi="en-US"/>
          <w:w w:val="100"/>
          <w:spacing w:val="0"/>
          <w:position w:val="0"/>
        </w:rPr>
        <w:t>info@etpz.ru</w:t>
      </w:r>
      <w:r>
        <w:fldChar w:fldCharType="end"/>
      </w:r>
      <w:r>
        <w:rPr>
          <w:lang w:val="en-US" w:eastAsia="en-US" w:bidi="en-US"/>
          <w:w w:val="100"/>
          <w:spacing w:val="0"/>
          <w:color w:val="000000"/>
          <w:position w:val="0"/>
        </w:rPr>
        <w:t xml:space="preserve">, </w:t>
      </w:r>
      <w:r>
        <w:fldChar w:fldCharType="begin"/>
      </w:r>
      <w:r>
        <w:rPr>
          <w:color w:val="000000"/>
        </w:rPr>
        <w:instrText> HYPERLINK "mailto:auditors@etpz.ru" </w:instrText>
      </w:r>
      <w:r>
        <w:fldChar w:fldCharType="separate"/>
      </w:r>
      <w:r>
        <w:rPr>
          <w:rStyle w:val="Hyperlink"/>
          <w:lang w:val="en-US" w:eastAsia="en-US" w:bidi="en-US"/>
          <w:w w:val="100"/>
          <w:spacing w:val="0"/>
          <w:position w:val="0"/>
        </w:rPr>
        <w:t>auditors@etpz.ru</w:t>
      </w:r>
      <w:r>
        <w:fldChar w:fldCharType="end"/>
      </w:r>
    </w:p>
    <w:p>
      <w:pPr>
        <w:pStyle w:val="Style8"/>
        <w:tabs>
          <w:tab w:leader="none" w:pos="10134" w:val="right"/>
        </w:tabs>
        <w:widowControl w:val="0"/>
        <w:keepNext w:val="0"/>
        <w:keepLines w:val="0"/>
        <w:shd w:val="clear" w:color="auto" w:fill="auto"/>
        <w:bidi w:val="0"/>
        <w:jc w:val="left"/>
        <w:spacing w:before="0" w:after="0"/>
        <w:ind w:left="20" w:right="20" w:firstLine="4360"/>
      </w:pPr>
      <w:r>
        <w:rPr>
          <w:lang w:val="ru-RU" w:eastAsia="ru-RU" w:bidi="ru-RU"/>
          <w:w w:val="100"/>
          <w:spacing w:val="0"/>
          <w:color w:val="000000"/>
          <w:position w:val="0"/>
        </w:rPr>
        <w:t>РЕШЕНИЕ по делу № 077/06/106-2286/2021 о нарушении законодательства об осуществлении закупок 15.02.2021</w:t>
        <w:tab/>
        <w:t>Москва</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Члена Комиссии — специалиста 1 разряда отдела обжалования государственных закупок А.З. Касимовой,</w:t>
      </w:r>
    </w:p>
    <w:p>
      <w:pPr>
        <w:pStyle w:val="Style5"/>
        <w:widowControl w:val="0"/>
        <w:keepNext w:val="0"/>
        <w:keepLines w:val="0"/>
        <w:shd w:val="clear" w:color="auto" w:fill="auto"/>
        <w:bidi w:val="0"/>
        <w:jc w:val="left"/>
        <w:spacing w:before="0" w:after="0" w:line="322" w:lineRule="exact"/>
        <w:ind w:left="20" w:right="20" w:firstLine="72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 ФКУ «Объединенная дирекция» Минстроя России: С.М. Курнаева, К.Ю. Обушиева, Е.А. Кочкиной,</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в отсутствие представителей ООО «Моризо Диджитал», о времени и порядке заседания Комиссии уведомленных письмом Московского УФАС России №ЕИ/7124/21 от 09.02.2021,</w:t>
      </w:r>
    </w:p>
    <w:p>
      <w:pPr>
        <w:pStyle w:val="Style3"/>
        <w:framePr w:w="1349" w:h="427" w:wrap="around" w:vAnchor="text" w:hAnchor="margin" w:x="351" w:y="1523"/>
        <w:widowControl w:val="0"/>
        <w:keepNext w:val="0"/>
        <w:keepLines w:val="0"/>
        <w:shd w:val="clear" w:color="auto" w:fill="auto"/>
        <w:bidi w:val="0"/>
        <w:jc w:val="left"/>
        <w:spacing w:before="0" w:after="0" w:line="240" w:lineRule="auto"/>
        <w:ind w:left="0" w:right="0" w:firstLine="0"/>
      </w:pPr>
      <w:r>
        <w:rPr>
          <w:w w:val="100"/>
          <w:spacing w:val="0"/>
          <w:color w:val="000000"/>
          <w:position w:val="0"/>
        </w:rPr>
        <w:t>000846780895</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рассмотрев жалобу ООО «Моризо Диджитал» (далее — Заявитель) на действия ФГБУ «ФКП Росреестра» (далее-Заказчик) при проведении открытого конкурса в электронной форме на право заключения государственного контракта на создание федеральной государственной информационной системы Единый</w:t>
      </w:r>
      <w:r>
        <w:br w:type="page"/>
      </w:r>
    </w:p>
    <w:p>
      <w:pPr>
        <w:pStyle w:val="Style5"/>
        <w:widowControl w:val="0"/>
        <w:keepNext w:val="0"/>
        <w:keepLines w:val="0"/>
        <w:shd w:val="clear" w:color="auto" w:fill="auto"/>
        <w:bidi w:val="0"/>
        <w:spacing w:before="0" w:after="349" w:line="322" w:lineRule="exact"/>
        <w:ind w:left="0" w:right="20" w:firstLine="0"/>
      </w:pPr>
      <w:r>
        <w:rPr>
          <w:lang w:val="ru-RU" w:eastAsia="ru-RU" w:bidi="ru-RU"/>
          <w:w w:val="100"/>
          <w:spacing w:val="0"/>
          <w:color w:val="000000"/>
          <w:position w:val="0"/>
        </w:rPr>
        <w:t>информационный ресурс о земле и недвижимости в рамках эксперимента по созданию единого информационного ресурса о земле и недвижимости на территории отдельных муниципальных образований Краснодарского края, Пермского края, Иркутской области и Республики Татарстан (Закупка № 0373100128521000002) (далее - конкурс, открытый конкурс в электронной форме)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№727/14,</w:t>
      </w:r>
    </w:p>
    <w:p>
      <w:pPr>
        <w:pStyle w:val="Style10"/>
        <w:widowControl w:val="0"/>
        <w:keepNext/>
        <w:keepLines/>
        <w:shd w:val="clear" w:color="auto" w:fill="auto"/>
        <w:bidi w:val="0"/>
        <w:spacing w:before="0" w:after="312" w:line="260" w:lineRule="exact"/>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открытого конкурса в электронной форме.</w:t>
      </w:r>
    </w:p>
    <w:p>
      <w:pPr>
        <w:pStyle w:val="Style5"/>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№ЕИ/7124/21 от 09.02.2021 документы и сведения.</w:t>
      </w:r>
    </w:p>
    <w:p>
      <w:pPr>
        <w:pStyle w:val="Style5"/>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В результате рассмотрения жалобы Комиссия Управления установила следующее.</w:t>
      </w:r>
    </w:p>
    <w:p>
      <w:pPr>
        <w:pStyle w:val="Style5"/>
        <w:numPr>
          <w:ilvl w:val="0"/>
          <w:numId w:val="3"/>
        </w:numPr>
        <w:tabs>
          <w:tab w:leader="none" w:pos="1147" w:val="left"/>
        </w:tabs>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Заявитель в жалобе указывает на то, что Заказчиком установлено неправомерное требование к участникам закупки о наличии лицензии ФСТЭК России на осуществление деятельности по технической защите конфиденциальной информации, поскольку предмет закупки и техническое задание не содержит требований, напрямую связанных с теми работами и услугами, которые предполагают наличие лицензии у участника закупки.</w:t>
      </w:r>
    </w:p>
    <w:p>
      <w:pPr>
        <w:pStyle w:val="Style5"/>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На основании п.2 ч.3 ст.54.2 Закона о контрактной системе в извещении о проведении открытого конкурса в электронной форме наряду с информацией, предусмотренной ст.42 Закона о контрактной системе, указываются требования, предъявляемые к участникам открытого конкурса в электронной форме, и исчерпывающий перечень документов, которые должны быть представлены участниками открытого конкурса в электронной форме в соответствии с п.1 ч.1 ст.31 Закона о контрактной системе, а также требование, предъявляемое к участникам открытого конкурса в электронной форме в соответствии с ч.1.1 (при наличии такого требования) ст.31 Закона о контрактной системе.</w:t>
      </w:r>
    </w:p>
    <w:p>
      <w:pPr>
        <w:pStyle w:val="Style5"/>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Согласно п.1 ч.1 ст.31 Закона о контрактной системе при осуществлении закупки заказчик устанавливает единые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5"/>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В силу п.3 ч.6 ст.54.4 Закона о контрактной системе вторая часть заявки на участие в открытом конкурсе в электронной форме должна содержать требуемые заказчиком в конкурсной документации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п.1 ч.1 ст.31 Закона о контрактной системе, или копии таких документов, а также декларацию о соответствии участника открытого конкурса в электронной форме требованиям, установленным в соответствии с пунктами 3 - 9, 11 ч.1 ст.31 Закона о контрактной системе (указанная декларация предоставляется с использованием программно-аппаратных средств электронной площадки).</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Комиссией Управления установлено, что Заказчиком в п.8 информационной карты конкурсной документации установлено требование к участникам закупки о наличии, в том числе, лицензия ФСТЭК России на деятельность по технической защите конфиденциальной информации, включающую следующие виды работ (услуг):</w:t>
      </w:r>
    </w:p>
    <w:p>
      <w:pPr>
        <w:pStyle w:val="Style5"/>
        <w:numPr>
          <w:ilvl w:val="0"/>
          <w:numId w:val="5"/>
        </w:numPr>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 xml:space="preserve"> проектирование в защищенном исполнении средств и систем информатизации;</w:t>
      </w:r>
    </w:p>
    <w:p>
      <w:pPr>
        <w:pStyle w:val="Style5"/>
        <w:numPr>
          <w:ilvl w:val="0"/>
          <w:numId w:val="5"/>
        </w:numPr>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 xml:space="preserve"> контроль защищенности конфиденциальной информации от несанкционированного доступа и ее модификации в средствах и системах информатизации;</w:t>
      </w:r>
    </w:p>
    <w:p>
      <w:pPr>
        <w:pStyle w:val="Style5"/>
        <w:numPr>
          <w:ilvl w:val="0"/>
          <w:numId w:val="5"/>
        </w:numPr>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 xml:space="preserve"> установка, монтаж, наладка, испытания, ремонт средств защиты информации (программных (программно-технических) средств защиты информации, защищенных программных (программно-технических) средств обработки информации, программных (программно-технических) средств контроля эффективности защиты информации.</w:t>
      </w:r>
    </w:p>
    <w:p>
      <w:pPr>
        <w:pStyle w:val="Style5"/>
        <w:tabs>
          <w:tab w:leader="none" w:pos="7097" w:val="left"/>
        </w:tabs>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Комиссией Управления установлено, что в соответствии с извещением о проведении открытого конкурса в электронной</w:t>
        <w:tab/>
        <w:t>форме от 20.01.2021</w:t>
      </w:r>
    </w:p>
    <w:p>
      <w:pPr>
        <w:pStyle w:val="Style5"/>
        <w:tabs>
          <w:tab w:leader="none" w:pos="7097" w:val="left"/>
        </w:tabs>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№0373100128521000002 объектом закупки является создание федеральной государственной информационной системы Единый информационный ресурс о земле и недвижимости в рамках эксперимента</w:t>
        <w:tab/>
        <w:t>по созданию единого</w:t>
      </w:r>
    </w:p>
    <w:p>
      <w:pPr>
        <w:pStyle w:val="Style5"/>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информационного ресурса о земле и недвижимости на территории отдельных муниципальных образований.</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На основании п.5 ч.1 ст.12 Федерального закона от 04.05.2011 № 99-ФЗ «О лицензировании отдельных видов деятельности» деятельность по технической защите конфиденциальной информации подлежит лицензированию.</w:t>
      </w:r>
    </w:p>
    <w:p>
      <w:pPr>
        <w:pStyle w:val="Style5"/>
        <w:tabs>
          <w:tab w:leader="none" w:pos="7097" w:val="left"/>
        </w:tabs>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соответствии с п.2 Положения о лицензировании деятельности по технической защите конфиденциальной информации (далее — Положения о лицензировании), утвержденного постановлением Правительства Российской Федерации от 03.02.2012 № 79 «О лицензировании деятельности по технической защите конфиденциальной информации» под</w:t>
        <w:tab/>
        <w:t>технической защитой</w:t>
      </w:r>
    </w:p>
    <w:p>
      <w:pPr>
        <w:pStyle w:val="Style5"/>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конфиденциальной информации понимается выполнение работ и (или) оказание услуг по ее защите от несанкционированного доступа, от утечки по техническим каналам, а также от специальных воздействий на такую информацию в целях ее уничтожения, искажения или блокирования доступа к ней.</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составе жалобы Заявитель указывает, что целесообразно установить требование к Исполнителю о наличии лицензии ФСТЭК, поскольку победитель процедуры может использовать уже готовые решения от обладающих необходимыми лицензиями подрядчиков по лицензионному договору.</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На основании п.8.3 технического задания, по мнению Заявителя, можно сделать вывод о том, что именно уже используемые средства обеспечивают необходимую и достаточную защиту информационных ресурсов ФГИС ЕИР от характерных угроз безопасности, а не непосредственно сам Исполнитель.</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Кроме того согласно доводам жалобы, положения п.10 и п.18.7 Приказа ФСТЭК России от 11.02.2013 № 17 «Об утверждении Требований о защите информации, не составляющей государственную тайну, содержащейся в государственных информационных системах» (далее - Приказ ФСТЭК №17), требование о соответствии которому установлено в техническом задании, предусматривают право при необходимости привлечь для проведения работ по защите информации третьих лиц, имеющих лицензию на деятельность по технической защите конфиденциальной информации.</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На заседании Комиссии Управления представитель Заказчика пояснил, что в целях реализации задач Системы, необходимо реализовать следующие подсистемы ФГИС ЕИР :</w:t>
      </w:r>
    </w:p>
    <w:p>
      <w:pPr>
        <w:pStyle w:val="Style5"/>
        <w:numPr>
          <w:ilvl w:val="0"/>
          <w:numId w:val="5"/>
        </w:numPr>
        <w:tabs>
          <w:tab w:leader="none" w:pos="4694" w:val="right"/>
          <w:tab w:leader="none" w:pos="6398" w:val="right"/>
          <w:tab w:leader="none" w:pos="10186" w:val="right"/>
        </w:tabs>
        <w:widowControl w:val="0"/>
        <w:keepNext w:val="0"/>
        <w:keepLines w:val="0"/>
        <w:shd w:val="clear" w:color="auto" w:fill="auto"/>
        <w:bidi w:val="0"/>
        <w:spacing w:before="0" w:after="0" w:line="322" w:lineRule="exact"/>
        <w:ind w:left="580" w:right="0" w:firstLine="0"/>
      </w:pPr>
      <w:r>
        <w:rPr>
          <w:lang w:val="ru-RU" w:eastAsia="ru-RU" w:bidi="ru-RU"/>
          <w:w w:val="100"/>
          <w:spacing w:val="0"/>
          <w:color w:val="000000"/>
          <w:position w:val="0"/>
        </w:rPr>
        <w:t xml:space="preserve"> Подсистема,</w:t>
        <w:tab/>
        <w:t>обеспечивающая</w:t>
        <w:tab/>
        <w:t>реализацию</w:t>
        <w:tab/>
        <w:t>функции «Интеграционное</w:t>
      </w:r>
    </w:p>
    <w:p>
      <w:pPr>
        <w:pStyle w:val="Style5"/>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взаимодействие»;</w:t>
      </w:r>
    </w:p>
    <w:p>
      <w:pPr>
        <w:pStyle w:val="Style5"/>
        <w:numPr>
          <w:ilvl w:val="0"/>
          <w:numId w:val="5"/>
        </w:numPr>
        <w:tabs>
          <w:tab w:leader="none" w:pos="4694" w:val="right"/>
          <w:tab w:leader="none" w:pos="6398" w:val="right"/>
          <w:tab w:leader="none" w:pos="10186" w:val="right"/>
        </w:tabs>
        <w:widowControl w:val="0"/>
        <w:keepNext w:val="0"/>
        <w:keepLines w:val="0"/>
        <w:shd w:val="clear" w:color="auto" w:fill="auto"/>
        <w:bidi w:val="0"/>
        <w:spacing w:before="0" w:after="0" w:line="322" w:lineRule="exact"/>
        <w:ind w:left="580" w:right="0" w:firstLine="0"/>
      </w:pPr>
      <w:r>
        <w:rPr>
          <w:lang w:val="ru-RU" w:eastAsia="ru-RU" w:bidi="ru-RU"/>
          <w:w w:val="100"/>
          <w:spacing w:val="0"/>
          <w:color w:val="000000"/>
          <w:position w:val="0"/>
        </w:rPr>
        <w:t xml:space="preserve"> Подсистема,</w:t>
        <w:tab/>
        <w:t>обеспечивающая</w:t>
        <w:tab/>
        <w:t>реализацию</w:t>
        <w:tab/>
        <w:t>функции «Верификация и</w:t>
      </w:r>
    </w:p>
    <w:p>
      <w:pPr>
        <w:pStyle w:val="Style5"/>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сопоставление данных»;</w:t>
      </w:r>
    </w:p>
    <w:p>
      <w:pPr>
        <w:pStyle w:val="Style5"/>
        <w:numPr>
          <w:ilvl w:val="0"/>
          <w:numId w:val="5"/>
        </w:numPr>
        <w:widowControl w:val="0"/>
        <w:keepNext w:val="0"/>
        <w:keepLines w:val="0"/>
        <w:shd w:val="clear" w:color="auto" w:fill="auto"/>
        <w:bidi w:val="0"/>
        <w:spacing w:before="0" w:after="0" w:line="322" w:lineRule="exact"/>
        <w:ind w:left="580" w:right="0" w:firstLine="0"/>
      </w:pPr>
      <w:r>
        <w:rPr>
          <w:lang w:val="ru-RU" w:eastAsia="ru-RU" w:bidi="ru-RU"/>
          <w:w w:val="100"/>
          <w:spacing w:val="0"/>
          <w:color w:val="000000"/>
          <w:position w:val="0"/>
        </w:rPr>
        <w:t xml:space="preserve"> Подсистема, обеспечивающая реализацию функции «Хранение данных»;</w:t>
      </w:r>
    </w:p>
    <w:p>
      <w:pPr>
        <w:pStyle w:val="Style5"/>
        <w:numPr>
          <w:ilvl w:val="0"/>
          <w:numId w:val="5"/>
        </w:numPr>
        <w:widowControl w:val="0"/>
        <w:keepNext w:val="0"/>
        <w:keepLines w:val="0"/>
        <w:shd w:val="clear" w:color="auto" w:fill="auto"/>
        <w:bidi w:val="0"/>
        <w:jc w:val="left"/>
        <w:spacing w:before="0" w:after="0" w:line="322" w:lineRule="exact"/>
        <w:ind w:left="20" w:right="20" w:firstLine="580"/>
      </w:pPr>
      <w:r>
        <w:rPr>
          <w:lang w:val="ru-RU" w:eastAsia="ru-RU" w:bidi="ru-RU"/>
          <w:w w:val="100"/>
          <w:spacing w:val="0"/>
          <w:color w:val="000000"/>
          <w:position w:val="0"/>
        </w:rPr>
        <w:t xml:space="preserve"> Подсистема, обеспечивающая реализацию функции «Геоинформационный сервис»;</w:t>
      </w:r>
    </w:p>
    <w:p>
      <w:pPr>
        <w:pStyle w:val="Style5"/>
        <w:numPr>
          <w:ilvl w:val="0"/>
          <w:numId w:val="5"/>
        </w:numPr>
        <w:widowControl w:val="0"/>
        <w:keepNext w:val="0"/>
        <w:keepLines w:val="0"/>
        <w:shd w:val="clear" w:color="auto" w:fill="auto"/>
        <w:bidi w:val="0"/>
        <w:jc w:val="left"/>
        <w:spacing w:before="0" w:after="0" w:line="322" w:lineRule="exact"/>
        <w:ind w:left="20" w:right="20" w:firstLine="580"/>
      </w:pPr>
      <w:r>
        <w:rPr>
          <w:lang w:val="ru-RU" w:eastAsia="ru-RU" w:bidi="ru-RU"/>
          <w:w w:val="100"/>
          <w:spacing w:val="0"/>
          <w:color w:val="000000"/>
          <w:position w:val="0"/>
        </w:rPr>
        <w:t xml:space="preserve"> Подсистема, обеспечивающая реализацию функции «Формирование данных об объектах в цифровой профиль объекта»;</w:t>
      </w:r>
    </w:p>
    <w:p>
      <w:pPr>
        <w:pStyle w:val="Style5"/>
        <w:numPr>
          <w:ilvl w:val="0"/>
          <w:numId w:val="5"/>
        </w:numPr>
        <w:widowControl w:val="0"/>
        <w:keepNext w:val="0"/>
        <w:keepLines w:val="0"/>
        <w:shd w:val="clear" w:color="auto" w:fill="auto"/>
        <w:bidi w:val="0"/>
        <w:jc w:val="left"/>
        <w:spacing w:before="0" w:after="0" w:line="322" w:lineRule="exact"/>
        <w:ind w:left="20" w:right="20" w:firstLine="580"/>
      </w:pPr>
      <w:r>
        <w:rPr>
          <w:lang w:val="ru-RU" w:eastAsia="ru-RU" w:bidi="ru-RU"/>
          <w:w w:val="100"/>
          <w:spacing w:val="0"/>
          <w:color w:val="000000"/>
          <w:position w:val="0"/>
        </w:rPr>
        <w:t xml:space="preserve"> Подсистема, обеспечивающая реализацию функции «Проведение анализа данных и подготовка отчетности»;</w:t>
      </w:r>
    </w:p>
    <w:p>
      <w:pPr>
        <w:pStyle w:val="Style5"/>
        <w:numPr>
          <w:ilvl w:val="0"/>
          <w:numId w:val="5"/>
        </w:numPr>
        <w:tabs>
          <w:tab w:leader="none" w:pos="4694" w:val="right"/>
          <w:tab w:leader="none" w:pos="10186" w:val="right"/>
        </w:tabs>
        <w:widowControl w:val="0"/>
        <w:keepNext w:val="0"/>
        <w:keepLines w:val="0"/>
        <w:shd w:val="clear" w:color="auto" w:fill="auto"/>
        <w:bidi w:val="0"/>
        <w:spacing w:before="0" w:after="0" w:line="322" w:lineRule="exact"/>
        <w:ind w:left="580" w:right="0" w:firstLine="0"/>
      </w:pPr>
      <w:r>
        <w:rPr>
          <w:lang w:val="ru-RU" w:eastAsia="ru-RU" w:bidi="ru-RU"/>
          <w:w w:val="100"/>
          <w:spacing w:val="0"/>
          <w:color w:val="000000"/>
          <w:position w:val="0"/>
        </w:rPr>
        <w:t xml:space="preserve"> Подсистема,</w:t>
        <w:tab/>
        <w:t>обеспечивающая реализацию</w:t>
        <w:tab/>
        <w:t>функций «Идентификация и</w:t>
      </w:r>
    </w:p>
    <w:p>
      <w:pPr>
        <w:pStyle w:val="Style5"/>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аутентификация пользователей, разграничение доступа к функциям и сервисам на основе ролевой модели», «Информационная безопасность»;</w:t>
      </w:r>
    </w:p>
    <w:p>
      <w:pPr>
        <w:pStyle w:val="Style5"/>
        <w:numPr>
          <w:ilvl w:val="0"/>
          <w:numId w:val="5"/>
        </w:numPr>
        <w:tabs>
          <w:tab w:leader="none" w:pos="4694" w:val="right"/>
          <w:tab w:leader="none" w:pos="6398" w:val="right"/>
        </w:tabs>
        <w:widowControl w:val="0"/>
        <w:keepNext w:val="0"/>
        <w:keepLines w:val="0"/>
        <w:shd w:val="clear" w:color="auto" w:fill="auto"/>
        <w:bidi w:val="0"/>
        <w:spacing w:before="0" w:after="0" w:line="322" w:lineRule="exact"/>
        <w:ind w:left="580" w:right="0" w:firstLine="0"/>
      </w:pPr>
      <w:r>
        <w:rPr>
          <w:lang w:val="ru-RU" w:eastAsia="ru-RU" w:bidi="ru-RU"/>
          <w:w w:val="100"/>
          <w:spacing w:val="0"/>
          <w:color w:val="000000"/>
          <w:position w:val="0"/>
        </w:rPr>
        <w:t xml:space="preserve"> Подсистема,</w:t>
        <w:tab/>
        <w:t>обеспечивающая</w:t>
        <w:tab/>
        <w:t>реализацию функции «Мониторинг</w:t>
      </w:r>
    </w:p>
    <w:p>
      <w:pPr>
        <w:pStyle w:val="Style5"/>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работоспособности»;</w:t>
      </w:r>
    </w:p>
    <w:p>
      <w:pPr>
        <w:pStyle w:val="Style5"/>
        <w:numPr>
          <w:ilvl w:val="0"/>
          <w:numId w:val="5"/>
        </w:numPr>
        <w:widowControl w:val="0"/>
        <w:keepNext w:val="0"/>
        <w:keepLines w:val="0"/>
        <w:shd w:val="clear" w:color="auto" w:fill="auto"/>
        <w:bidi w:val="0"/>
        <w:spacing w:before="0" w:after="0" w:line="322" w:lineRule="exact"/>
        <w:ind w:left="0" w:right="20" w:firstLine="580"/>
      </w:pPr>
      <w:r>
        <w:rPr>
          <w:lang w:val="ru-RU" w:eastAsia="ru-RU" w:bidi="ru-RU"/>
          <w:w w:val="100"/>
          <w:spacing w:val="0"/>
          <w:color w:val="000000"/>
          <w:position w:val="0"/>
        </w:rPr>
        <w:t xml:space="preserve"> Подсистема, обеспечивающая реализацию функции сервисов «Земля просто», «Земля для стройки», «Анализ состояния и использования земель».</w:t>
      </w:r>
    </w:p>
    <w:p>
      <w:pPr>
        <w:pStyle w:val="Style5"/>
        <w:widowControl w:val="0"/>
        <w:keepNext w:val="0"/>
        <w:keepLines w:val="0"/>
        <w:shd w:val="clear" w:color="auto" w:fill="auto"/>
        <w:bidi w:val="0"/>
        <w:jc w:val="left"/>
        <w:spacing w:before="0" w:after="0" w:line="322" w:lineRule="exact"/>
        <w:ind w:left="0" w:right="20" w:firstLine="700"/>
      </w:pPr>
      <w:r>
        <w:rPr>
          <w:lang w:val="ru-RU" w:eastAsia="ru-RU" w:bidi="ru-RU"/>
          <w:w w:val="100"/>
          <w:spacing w:val="0"/>
          <w:color w:val="000000"/>
          <w:position w:val="0"/>
        </w:rPr>
        <w:t>Во исполнение пункта 4.2.3.7 технического части конкурсной документации должна быть разработана соответствующая подсистема, реализующая:</w:t>
      </w:r>
    </w:p>
    <w:p>
      <w:pPr>
        <w:pStyle w:val="Style5"/>
        <w:numPr>
          <w:ilvl w:val="0"/>
          <w:numId w:val="5"/>
        </w:numPr>
        <w:widowControl w:val="0"/>
        <w:keepNext w:val="0"/>
        <w:keepLines w:val="0"/>
        <w:shd w:val="clear" w:color="auto" w:fill="auto"/>
        <w:bidi w:val="0"/>
        <w:spacing w:before="0" w:after="0" w:line="322" w:lineRule="exact"/>
        <w:ind w:left="0" w:right="20" w:firstLine="580"/>
      </w:pPr>
      <w:r>
        <w:rPr>
          <w:lang w:val="ru-RU" w:eastAsia="ru-RU" w:bidi="ru-RU"/>
          <w:w w:val="100"/>
          <w:spacing w:val="0"/>
          <w:color w:val="000000"/>
          <w:position w:val="0"/>
        </w:rPr>
        <w:t xml:space="preserve"> регистрация пользователей и авторизации с использованием учетных данных Единой системы идентификации и аутентификации;</w:t>
      </w:r>
    </w:p>
    <w:p>
      <w:pPr>
        <w:pStyle w:val="Style5"/>
        <w:numPr>
          <w:ilvl w:val="0"/>
          <w:numId w:val="5"/>
        </w:numPr>
        <w:widowControl w:val="0"/>
        <w:keepNext w:val="0"/>
        <w:keepLines w:val="0"/>
        <w:shd w:val="clear" w:color="auto" w:fill="auto"/>
        <w:bidi w:val="0"/>
        <w:spacing w:before="0" w:after="0" w:line="322" w:lineRule="exact"/>
        <w:ind w:left="0" w:right="20" w:firstLine="580"/>
      </w:pPr>
      <w:r>
        <w:rPr>
          <w:lang w:val="ru-RU" w:eastAsia="ru-RU" w:bidi="ru-RU"/>
          <w:w w:val="100"/>
          <w:spacing w:val="0"/>
          <w:color w:val="000000"/>
          <w:position w:val="0"/>
        </w:rPr>
        <w:t xml:space="preserve"> разграничение доступа к различным функциям Системы в зависимости от типа, прав и роли пользователя (физические лица, юридические лица, органы государственной власти различного уровня);</w:t>
      </w:r>
    </w:p>
    <w:p>
      <w:pPr>
        <w:pStyle w:val="Style5"/>
        <w:numPr>
          <w:ilvl w:val="0"/>
          <w:numId w:val="5"/>
        </w:numPr>
        <w:widowControl w:val="0"/>
        <w:keepNext w:val="0"/>
        <w:keepLines w:val="0"/>
        <w:shd w:val="clear" w:color="auto" w:fill="auto"/>
        <w:bidi w:val="0"/>
        <w:spacing w:before="0" w:after="0" w:line="322" w:lineRule="exact"/>
        <w:ind w:left="0" w:right="0" w:firstLine="580"/>
      </w:pPr>
      <w:r>
        <w:rPr>
          <w:lang w:val="ru-RU" w:eastAsia="ru-RU" w:bidi="ru-RU"/>
          <w:w w:val="100"/>
          <w:spacing w:val="0"/>
          <w:color w:val="000000"/>
          <w:position w:val="0"/>
        </w:rPr>
        <w:t xml:space="preserve"> ограничение доступа к Системе для неавторизованных пользователей.</w:t>
      </w:r>
    </w:p>
    <w:p>
      <w:pPr>
        <w:pStyle w:val="Style5"/>
        <w:widowControl w:val="0"/>
        <w:keepNext w:val="0"/>
        <w:keepLines w:val="0"/>
        <w:shd w:val="clear" w:color="auto" w:fill="auto"/>
        <w:bidi w:val="0"/>
        <w:jc w:val="left"/>
        <w:spacing w:before="0" w:after="0" w:line="322" w:lineRule="exact"/>
        <w:ind w:left="0" w:right="0" w:firstLine="700"/>
      </w:pPr>
      <w:r>
        <w:rPr>
          <w:lang w:val="ru-RU" w:eastAsia="ru-RU" w:bidi="ru-RU"/>
          <w:w w:val="100"/>
          <w:spacing w:val="0"/>
          <w:color w:val="000000"/>
          <w:position w:val="0"/>
        </w:rPr>
        <w:t>Также представитель Заказчика пояснил, что во исполнение пункта 4.2.3.8</w:t>
      </w:r>
    </w:p>
    <w:p>
      <w:pPr>
        <w:pStyle w:val="Style5"/>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технической части документации должно быть обеспечено:</w:t>
      </w:r>
    </w:p>
    <w:p>
      <w:pPr>
        <w:pStyle w:val="Style5"/>
        <w:numPr>
          <w:ilvl w:val="0"/>
          <w:numId w:val="5"/>
        </w:numPr>
        <w:widowControl w:val="0"/>
        <w:keepNext w:val="0"/>
        <w:keepLines w:val="0"/>
        <w:shd w:val="clear" w:color="auto" w:fill="auto"/>
        <w:bidi w:val="0"/>
        <w:spacing w:before="0" w:after="0" w:line="322" w:lineRule="exact"/>
        <w:ind w:left="0" w:right="20" w:firstLine="580"/>
      </w:pPr>
      <w:r>
        <w:rPr>
          <w:lang w:val="ru-RU" w:eastAsia="ru-RU" w:bidi="ru-RU"/>
          <w:w w:val="100"/>
          <w:spacing w:val="0"/>
          <w:color w:val="000000"/>
          <w:position w:val="0"/>
        </w:rPr>
        <w:t xml:space="preserve"> идентификация и аутентификация пользователей в системе должна осуществляться при помощи Единой системы идентификации и аутентификации, в том числе посредством Единой системы идентификации и аутентификации должна быть обеспечена удаленная идентификация граждан с помощью биометрических данных;</w:t>
      </w:r>
    </w:p>
    <w:p>
      <w:pPr>
        <w:pStyle w:val="Style5"/>
        <w:numPr>
          <w:ilvl w:val="0"/>
          <w:numId w:val="5"/>
        </w:numPr>
        <w:widowControl w:val="0"/>
        <w:keepNext w:val="0"/>
        <w:keepLines w:val="0"/>
        <w:shd w:val="clear" w:color="auto" w:fill="auto"/>
        <w:bidi w:val="0"/>
        <w:spacing w:before="0" w:after="0" w:line="322" w:lineRule="exact"/>
        <w:ind w:left="0" w:right="20" w:firstLine="580"/>
      </w:pPr>
      <w:r>
        <w:rPr>
          <w:lang w:val="ru-RU" w:eastAsia="ru-RU" w:bidi="ru-RU"/>
          <w:w w:val="100"/>
          <w:spacing w:val="0"/>
          <w:color w:val="000000"/>
          <w:position w:val="0"/>
        </w:rPr>
        <w:t xml:space="preserve"> авторизация пользователей в Системе должна осуществляться при помо</w:t>
      </w:r>
      <w:r>
        <w:rPr>
          <w:rStyle w:val="CharStyle12"/>
        </w:rPr>
        <w:t>щи</w:t>
      </w:r>
      <w:r>
        <w:rPr>
          <w:lang w:val="ru-RU" w:eastAsia="ru-RU" w:bidi="ru-RU"/>
          <w:w w:val="100"/>
          <w:spacing w:val="0"/>
          <w:color w:val="000000"/>
          <w:position w:val="0"/>
        </w:rPr>
        <w:t xml:space="preserve"> Единой системы идентификации и аутентификации;</w:t>
      </w:r>
    </w:p>
    <w:p>
      <w:pPr>
        <w:pStyle w:val="Style5"/>
        <w:numPr>
          <w:ilvl w:val="0"/>
          <w:numId w:val="5"/>
        </w:numPr>
        <w:widowControl w:val="0"/>
        <w:keepNext w:val="0"/>
        <w:keepLines w:val="0"/>
        <w:shd w:val="clear" w:color="auto" w:fill="auto"/>
        <w:bidi w:val="0"/>
        <w:spacing w:before="0" w:after="0" w:line="322" w:lineRule="exact"/>
        <w:ind w:left="0" w:right="20" w:firstLine="580"/>
      </w:pPr>
      <w:r>
        <w:rPr>
          <w:lang w:val="ru-RU" w:eastAsia="ru-RU" w:bidi="ru-RU"/>
          <w:w w:val="100"/>
          <w:spacing w:val="0"/>
          <w:color w:val="000000"/>
          <w:position w:val="0"/>
        </w:rPr>
        <w:t xml:space="preserve"> управление (заведение, активация, блокирование и уничтожение) учетными записями пользователей;</w:t>
      </w:r>
    </w:p>
    <w:p>
      <w:pPr>
        <w:pStyle w:val="Style5"/>
        <w:numPr>
          <w:ilvl w:val="0"/>
          <w:numId w:val="5"/>
        </w:numPr>
        <w:widowControl w:val="0"/>
        <w:keepNext w:val="0"/>
        <w:keepLines w:val="0"/>
        <w:shd w:val="clear" w:color="auto" w:fill="auto"/>
        <w:bidi w:val="0"/>
        <w:spacing w:before="0" w:after="0" w:line="322" w:lineRule="exact"/>
        <w:ind w:left="0" w:right="0" w:firstLine="580"/>
      </w:pPr>
      <w:r>
        <w:rPr>
          <w:lang w:val="ru-RU" w:eastAsia="ru-RU" w:bidi="ru-RU"/>
          <w:w w:val="100"/>
          <w:spacing w:val="0"/>
          <w:color w:val="000000"/>
          <w:position w:val="0"/>
        </w:rPr>
        <w:t xml:space="preserve"> реализация необходимых методов, типов и правил разграничения доступа;</w:t>
      </w:r>
    </w:p>
    <w:p>
      <w:pPr>
        <w:pStyle w:val="Style5"/>
        <w:numPr>
          <w:ilvl w:val="0"/>
          <w:numId w:val="5"/>
        </w:numPr>
        <w:widowControl w:val="0"/>
        <w:keepNext w:val="0"/>
        <w:keepLines w:val="0"/>
        <w:shd w:val="clear" w:color="auto" w:fill="auto"/>
        <w:bidi w:val="0"/>
        <w:spacing w:before="0" w:after="0" w:line="322" w:lineRule="exact"/>
        <w:ind w:left="0" w:right="20" w:firstLine="580"/>
      </w:pPr>
      <w:r>
        <w:rPr>
          <w:lang w:val="ru-RU" w:eastAsia="ru-RU" w:bidi="ru-RU"/>
          <w:w w:val="100"/>
          <w:spacing w:val="0"/>
          <w:color w:val="000000"/>
          <w:position w:val="0"/>
        </w:rPr>
        <w:t xml:space="preserve"> разделение полномочий (ролей) пользователей, включая ограничение прав пользователей по вводу информации в систему и получению информации из Системы;</w:t>
      </w:r>
    </w:p>
    <w:p>
      <w:pPr>
        <w:pStyle w:val="Style5"/>
        <w:numPr>
          <w:ilvl w:val="0"/>
          <w:numId w:val="5"/>
        </w:numPr>
        <w:widowControl w:val="0"/>
        <w:keepNext w:val="0"/>
        <w:keepLines w:val="0"/>
        <w:shd w:val="clear" w:color="auto" w:fill="auto"/>
        <w:bidi w:val="0"/>
        <w:spacing w:before="0" w:after="0" w:line="322" w:lineRule="exact"/>
        <w:ind w:left="0" w:right="20" w:firstLine="580"/>
      </w:pPr>
      <w:r>
        <w:rPr>
          <w:lang w:val="ru-RU" w:eastAsia="ru-RU" w:bidi="ru-RU"/>
          <w:w w:val="100"/>
          <w:spacing w:val="0"/>
          <w:color w:val="000000"/>
          <w:position w:val="0"/>
        </w:rPr>
        <w:t xml:space="preserve"> протоколирование и сохранение сведений о предоставлении доступа и о других операциях с документами и метаданными;</w:t>
      </w:r>
    </w:p>
    <w:p>
      <w:pPr>
        <w:pStyle w:val="Style5"/>
        <w:numPr>
          <w:ilvl w:val="0"/>
          <w:numId w:val="5"/>
        </w:numPr>
        <w:widowControl w:val="0"/>
        <w:keepNext w:val="0"/>
        <w:keepLines w:val="0"/>
        <w:shd w:val="clear" w:color="auto" w:fill="auto"/>
        <w:bidi w:val="0"/>
        <w:spacing w:before="0" w:after="0" w:line="322" w:lineRule="exact"/>
        <w:ind w:left="0" w:right="0" w:firstLine="580"/>
      </w:pPr>
      <w:r>
        <w:rPr>
          <w:lang w:val="ru-RU" w:eastAsia="ru-RU" w:bidi="ru-RU"/>
          <w:w w:val="100"/>
          <w:spacing w:val="0"/>
          <w:color w:val="000000"/>
          <w:position w:val="0"/>
        </w:rPr>
        <w:t xml:space="preserve"> обеспечение контроля доступа из систем-источников данных;</w:t>
      </w:r>
    </w:p>
    <w:p>
      <w:pPr>
        <w:pStyle w:val="Style5"/>
        <w:numPr>
          <w:ilvl w:val="0"/>
          <w:numId w:val="5"/>
        </w:numPr>
        <w:widowControl w:val="0"/>
        <w:keepNext w:val="0"/>
        <w:keepLines w:val="0"/>
        <w:shd w:val="clear" w:color="auto" w:fill="auto"/>
        <w:bidi w:val="0"/>
        <w:spacing w:before="0" w:after="0" w:line="322" w:lineRule="exact"/>
        <w:ind w:left="0" w:right="20" w:firstLine="580"/>
      </w:pPr>
      <w:r>
        <w:rPr>
          <w:lang w:val="ru-RU" w:eastAsia="ru-RU" w:bidi="ru-RU"/>
          <w:w w:val="100"/>
          <w:spacing w:val="0"/>
          <w:color w:val="000000"/>
          <w:position w:val="0"/>
        </w:rPr>
        <w:t xml:space="preserve"> обеспечение целостности, доступности и неотказуемости (возможности подтверждения авторства) обрабатываемых данных, в том числе Получаемых от поставщиков данных;</w:t>
      </w:r>
    </w:p>
    <w:p>
      <w:pPr>
        <w:pStyle w:val="Style5"/>
        <w:numPr>
          <w:ilvl w:val="0"/>
          <w:numId w:val="5"/>
        </w:numPr>
        <w:widowControl w:val="0"/>
        <w:keepNext w:val="0"/>
        <w:keepLines w:val="0"/>
        <w:shd w:val="clear" w:color="auto" w:fill="auto"/>
        <w:bidi w:val="0"/>
        <w:spacing w:before="0" w:after="0" w:line="322" w:lineRule="exact"/>
        <w:ind w:left="0" w:right="20" w:firstLine="580"/>
      </w:pPr>
      <w:r>
        <w:rPr>
          <w:lang w:val="ru-RU" w:eastAsia="ru-RU" w:bidi="ru-RU"/>
          <w:w w:val="100"/>
          <w:spacing w:val="0"/>
          <w:color w:val="000000"/>
          <w:position w:val="0"/>
        </w:rPr>
        <w:t xml:space="preserve"> автоматизированное ведение электронных журналов учета времени и фактов размещения информации, изменения и удаления информации, содержания вносимых изменений, информации о пользователях системы, осуществивших указанные действия;</w:t>
      </w:r>
    </w:p>
    <w:p>
      <w:pPr>
        <w:pStyle w:val="Style5"/>
        <w:numPr>
          <w:ilvl w:val="0"/>
          <w:numId w:val="5"/>
        </w:numPr>
        <w:widowControl w:val="0"/>
        <w:keepNext w:val="0"/>
        <w:keepLines w:val="0"/>
        <w:shd w:val="clear" w:color="auto" w:fill="auto"/>
        <w:bidi w:val="0"/>
        <w:spacing w:before="0" w:after="0" w:line="322" w:lineRule="exact"/>
        <w:ind w:left="0" w:right="20" w:firstLine="580"/>
      </w:pPr>
      <w:r>
        <w:rPr>
          <w:lang w:val="ru-RU" w:eastAsia="ru-RU" w:bidi="ru-RU"/>
          <w:w w:val="100"/>
          <w:spacing w:val="0"/>
          <w:color w:val="000000"/>
          <w:position w:val="0"/>
        </w:rPr>
        <w:t xml:space="preserve"> обеспечение возможности просмотра и анализа информации электронных журналов учета времени и фактов размещения информации, изменения и удаления информации, содержания вносимых изменений, информации о пользователях системы, осуществивших указанные действия;</w:t>
      </w:r>
    </w:p>
    <w:p>
      <w:pPr>
        <w:pStyle w:val="Style5"/>
        <w:widowControl w:val="0"/>
        <w:keepNext w:val="0"/>
        <w:keepLines w:val="0"/>
        <w:shd w:val="clear" w:color="auto" w:fill="auto"/>
        <w:bidi w:val="0"/>
        <w:spacing w:before="0" w:after="0" w:line="322" w:lineRule="exact"/>
        <w:ind w:left="20" w:right="20" w:firstLine="580"/>
      </w:pPr>
      <w:r>
        <w:rPr>
          <w:lang w:val="ru-RU" w:eastAsia="ru-RU" w:bidi="ru-RU"/>
          <w:w w:val="100"/>
          <w:spacing w:val="0"/>
          <w:color w:val="000000"/>
          <w:position w:val="0"/>
        </w:rPr>
        <w:t>• сбор, запись и хранение информации о событиях безопасности с возможностью мониторинга (просмотра, анализа) результатов регистрации событий безопасности.</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составе функции информационной безопасности также должна быть обеспечена функция подписания электронных документов, обрабатываемых в Системе, ЭП. При этом состав работ по созданию Подсистем ФГИС ЕИР закреплен в таблице 3 «Состав работ и сроки их выполнения». В частности, результатом выполнение работ по созданию функций системы, предусмотренных ранее указанными пунктами 4.2.3.7 и 4.2.3.8, является передача исходных кодов, включая скрипты и сборки Подсистем, что, по мнению Заказчика, прямо указывает на необходимость разработки собственных систем.</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Комиссия Управления отмечает, что в соответствии с положениями п.4.1.5 технического задания работы по созданию системы должны проводиться в соответствии с требованиями постановления Правительства Российской Федерации от 6 июля 2015 г. № 676 «О требованиях к порядку создания, развития, ввода в эксплуатацию, эксплуатации и вывода из эксплуатации государственных информационных систем, и дальнейшего хранения содержащейся в их базах данных информации» (далее — постановление 676).</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п.1(1) постановления 676 при реализации работ по созданию системы должны выполняться требования о защите информации, содержащейся в системах, требования к организации и мерам защиты информации, содержащейся в системе; требования о защите персональных данных.</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Для выполнения требований по обеспечению информационной безопасности Системы должен быть реализован комплекс организационных и технических мер защиты информации.</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Вместе с тем необходимо отметить, что вопреки заявлениям Заявителя о возможности использования уже готовых решений от обладающих необходимыми лицензиями подрядчиков по лицензионному договору, согласно положениям п.4.1.8 технического задания в рамках работ по Контракту производится подготовка к сертификации прикладного программного обеспечения.</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Для подготовки к сертификации Исполнителем должны быть осуществлены следующие мероприятия:</w:t>
      </w:r>
    </w:p>
    <w:p>
      <w:pPr>
        <w:pStyle w:val="Style5"/>
        <w:numPr>
          <w:ilvl w:val="0"/>
          <w:numId w:val="5"/>
        </w:numPr>
        <w:tabs>
          <w:tab w:leader="none" w:pos="1349" w:val="left"/>
        </w:tabs>
        <w:widowControl w:val="0"/>
        <w:keepNext w:val="0"/>
        <w:keepLines w:val="0"/>
        <w:shd w:val="clear" w:color="auto" w:fill="auto"/>
        <w:bidi w:val="0"/>
        <w:spacing w:before="0" w:after="0" w:line="322" w:lineRule="exact"/>
        <w:ind w:left="20" w:right="0" w:firstLine="700"/>
      </w:pPr>
      <w:r>
        <w:rPr>
          <w:lang w:val="ru-RU" w:eastAsia="ru-RU" w:bidi="ru-RU"/>
          <w:w w:val="100"/>
          <w:spacing w:val="0"/>
          <w:color w:val="000000"/>
          <w:position w:val="0"/>
        </w:rPr>
        <w:t>подготовка прикладного программного обеспечения к сертификации;</w:t>
      </w:r>
    </w:p>
    <w:p>
      <w:pPr>
        <w:pStyle w:val="Style5"/>
        <w:numPr>
          <w:ilvl w:val="0"/>
          <w:numId w:val="5"/>
        </w:numPr>
        <w:tabs>
          <w:tab w:leader="none" w:pos="1349" w:val="left"/>
          <w:tab w:leader="none" w:pos="9043" w:val="center"/>
          <w:tab w:leader="none" w:pos="10181" w:val="right"/>
        </w:tabs>
        <w:widowControl w:val="0"/>
        <w:keepNext w:val="0"/>
        <w:keepLines w:val="0"/>
        <w:shd w:val="clear" w:color="auto" w:fill="auto"/>
        <w:bidi w:val="0"/>
        <w:spacing w:before="0" w:after="0" w:line="322" w:lineRule="exact"/>
        <w:ind w:left="20" w:right="0" w:firstLine="700"/>
      </w:pPr>
      <w:r>
        <w:rPr>
          <w:lang w:val="ru-RU" w:eastAsia="ru-RU" w:bidi="ru-RU"/>
          <w:w w:val="100"/>
          <w:spacing w:val="0"/>
          <w:color w:val="000000"/>
          <w:position w:val="0"/>
        </w:rPr>
        <w:t>подготовка документов для подачи заявки на сертификацию</w:t>
        <w:tab/>
        <w:t>в</w:t>
        <w:tab/>
        <w:t>ФСТЭК</w:t>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России: формуляра, технических условий и заявки на сертификацию;</w:t>
      </w:r>
    </w:p>
    <w:p>
      <w:pPr>
        <w:pStyle w:val="Style5"/>
        <w:numPr>
          <w:ilvl w:val="0"/>
          <w:numId w:val="5"/>
        </w:numPr>
        <w:tabs>
          <w:tab w:leader="none" w:pos="1349" w:val="left"/>
        </w:tabs>
        <w:widowControl w:val="0"/>
        <w:keepNext w:val="0"/>
        <w:keepLines w:val="0"/>
        <w:shd w:val="clear" w:color="auto" w:fill="auto"/>
        <w:bidi w:val="0"/>
        <w:spacing w:before="0" w:after="0" w:line="322" w:lineRule="exact"/>
        <w:ind w:left="20" w:right="0" w:firstLine="700"/>
      </w:pPr>
      <w:r>
        <w:rPr>
          <w:lang w:val="ru-RU" w:eastAsia="ru-RU" w:bidi="ru-RU"/>
          <w:w w:val="100"/>
          <w:spacing w:val="0"/>
          <w:color w:val="000000"/>
          <w:position w:val="0"/>
        </w:rPr>
        <w:t>подача заявки на сертификацию в ФСТЭК России.</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Положения п.10 Приказа ФСТЭК №17 предусматривают именно право привлечения для проведения работ по защите информации третьих лиц, имеющих лицензию на деятельность по технической защите конфиденциальной информации, но не абсолютную необходимость привлечения таких лиц. Таким образом, реализация вышеописанного права исполнителем контракта не вменяет Заказчику</w:t>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возможность игнорировать положения п.1 ч.1 ст.31 Закона о контрактной системе.</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Кроме того, положения п.18.7 Приказа ФСТЭК №17 относятся к обеспечению защиты информации в ходе эксплуатации аттестованной информационной системы, а не ее создания.</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Из изложенного следует, что предметом закупки является создание информационной системы, требующей в процессе выполнения работ обеспечение мер защиты безопасности.</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При таких данных Комиссия Управления приходит к выводу о том, что довод жалобы не нашел своего подтверждения и является необоснованным.</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Одновременно с этим в ходе проведения внеплановой проверки Комиссией Управления установлено следующее.</w:t>
      </w:r>
    </w:p>
    <w:p>
      <w:pPr>
        <w:pStyle w:val="Style5"/>
        <w:numPr>
          <w:ilvl w:val="0"/>
          <w:numId w:val="7"/>
        </w:numPr>
        <w:tabs>
          <w:tab w:leader="none" w:pos="1143" w:val="left"/>
        </w:tabs>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силу п.10 ст.42 Закона о контрактной системе в извещении об осуществлении закупки должна содержаться, если иное не предусмотрено Законом о контрактной системе,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ст.14 Закона о контрактной системе.</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П.2 постановления Правительства Российской Федерации от 16.11.2015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pPr>
        <w:pStyle w:val="Style13"/>
        <w:widowControl w:val="0"/>
        <w:keepNext w:val="0"/>
        <w:keepLines w:val="0"/>
        <w:shd w:val="clear" w:color="auto" w:fill="auto"/>
        <w:bidi w:val="0"/>
        <w:spacing w:before="0" w:after="0"/>
        <w:ind w:left="20" w:right="20"/>
      </w:pPr>
      <w:r>
        <w:rPr>
          <w:rStyle w:val="CharStyle15"/>
          <w:i w:val="0"/>
          <w:iCs w:val="0"/>
        </w:rPr>
        <w:t xml:space="preserve">В силу пп. «в» п.2(1) постановления № 1236 для целей применения п.2 постановления № 1236 под программным обеспечением понимают программное обеспечение и (или) права на него вследствие выполнения контрактных обязательств по </w:t>
      </w:r>
      <w:r>
        <w:rPr>
          <w:lang w:val="ru-RU" w:eastAsia="ru-RU" w:bidi="ru-RU"/>
          <w:w w:val="100"/>
          <w:spacing w:val="0"/>
          <w:color w:val="000000"/>
          <w:position w:val="0"/>
        </w:rPr>
        <w:t>выполнению работ, оказанию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Комиссия Управления отмечает, что объектом закупки является создание Федеральной государственной информационной системы, предусматривающее разработку программного обеспечения и последующее предоставление Заказчику прав на использование программного обеспечения, что прямо следует из п.4.3.4.1 технического задания документации, согласно которому в рамках контракта предусмотрена передача программного обеспечения Системы Заказчику, сопровождающаяся подготовкой Исполнителем инсталляционного комплекта, собираемого из актуальных исходных кодов Системы, в соответствии с инструкцией по сборке, приведенной в руководстве администратора.</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соответствии с п.2 Порядка подготовки обоснования невозможности соблюдения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утвержденного Постановлением Правительства № 1236 (далее - Порядок) определены случаи невозможности соблюдения заказчиком запрета на допуск программного обеспечения, происходящего из иностранных государств, а также указано на необходимость подготовки обоснования невозможности соблюдения запрета на допуск программного обеспечения, происходящего из иностранных государств.</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При этом согласно пп. «г» п.3 Порядка обоснование должно содержать указание на функциональные, технические и (или) эксплуатационные характеристики (в том числе их параметры), по которым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не соответствует установленным заказчиком требованиям к программному обеспечению, являющемуся объектом закупки, по каждому программному обеспечению (с указанием названия программного обеспечения),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являющееся объектом закупки (только для закупки в случае, предусмотренном подпунктом «б» пункта 2 настоящего Порядка).</w:t>
      </w:r>
    </w:p>
    <w:p>
      <w:pPr>
        <w:pStyle w:val="Style13"/>
        <w:widowControl w:val="0"/>
        <w:keepNext w:val="0"/>
        <w:keepLines w:val="0"/>
        <w:shd w:val="clear" w:color="auto" w:fill="auto"/>
        <w:bidi w:val="0"/>
        <w:spacing w:before="0" w:after="0"/>
        <w:ind w:left="20" w:right="20"/>
      </w:pPr>
      <w:r>
        <w:rPr>
          <w:rStyle w:val="CharStyle15"/>
          <w:i w:val="0"/>
          <w:iCs w:val="0"/>
        </w:rPr>
        <w:t xml:space="preserve">Одновременно с этим на заседании Комиссии Управления установлено, что в п.4.3.4 технического задания документации Заказчиком утверждено следующее: «Прикладное и системное программное обеспечение ФГИС ЕИР должно быть включено в Единый реестр российских программ для электронных вычислительных машин и баз данных,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или в качестве прикладного и системного программного обеспечения должно быть выбрано программное обеспечение, созданное как «открытое» </w:t>
      </w:r>
      <w:r>
        <w:rPr>
          <w:rStyle w:val="CharStyle15"/>
          <w:lang w:val="en-US" w:eastAsia="en-US" w:bidi="en-US"/>
          <w:i w:val="0"/>
          <w:iCs w:val="0"/>
        </w:rPr>
        <w:t xml:space="preserve">(Open Source) </w:t>
      </w:r>
      <w:r>
        <w:rPr>
          <w:rStyle w:val="CharStyle15"/>
          <w:i w:val="0"/>
          <w:iCs w:val="0"/>
        </w:rPr>
        <w:t xml:space="preserve">программное обеспечение </w:t>
      </w:r>
      <w:r>
        <w:rPr>
          <w:lang w:val="ru-RU" w:eastAsia="ru-RU" w:bidi="ru-RU"/>
          <w:w w:val="100"/>
          <w:spacing w:val="0"/>
          <w:color w:val="000000"/>
          <w:position w:val="0"/>
        </w:rPr>
        <w:t>при невозможности соблюдения запрета на допуск программного обеспечения, происходящего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в соответствии с Постановлением Правительства Российской Федерации от 21 сентября 2019 г. № 1236 «О порядке и основаниях принятия национальным органом по аккредитации решений о включении аккредитованных лиц в национальную часть Единого реестра органов по оценке соответствия Евразийского экономического союза и об их исключении из него</w:t>
      </w:r>
      <w:r>
        <w:rPr>
          <w:rStyle w:val="CharStyle15"/>
          <w:i w:val="0"/>
          <w:iCs w:val="0"/>
        </w:rPr>
        <w:t>».</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Вместе с тем вышеуказанное положение конкурсной документации с отсылкой к постановлению №1236 в формате условий исполнения контракта не отвечает требованиям Закона о контрактной системе, поскольку не указывает напрямую на установление запрета, предусмотренного постановлением № 1236, однако также не обеспечивает обоснование невозможности соблюдения запрета на допуск программного обеспечения, что в совокупности противоречит ч.3 ст. 14, п.10 ст.42, ч.1 ст.54.3 Закона о контрактной системе.</w:t>
      </w:r>
    </w:p>
    <w:p>
      <w:pPr>
        <w:pStyle w:val="Style5"/>
        <w:numPr>
          <w:ilvl w:val="0"/>
          <w:numId w:val="7"/>
        </w:numPr>
        <w:tabs>
          <w:tab w:leader="none" w:pos="1048" w:val="left"/>
        </w:tabs>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Также Комиссией Управления установлен факт несоблюдения Заказчиком порядка публикации разъяснений положений документации.</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ч.7 ст.54.3 Закона о контрактной системе любой участник открытого конкурса в электронной форме, зарегистрированный в единой информационной системе и аккредитованный на электронной площадке, вправе направить оператору электронной площадки с использованием программно-аппаратных средств электронной площадки, на которой планируется проведение такого открытого конкурса в электронной форме, запрос о даче разъяснений положений конкурсной документации. При этом участник открытого конкурса в электронной форме вправе направить не более чем три запроса о даче разъяснений положений конкурсной документации в отношении одного открытого конкурса в электронной форме. В течение одного часа с момента поступления указанного запроса он направляется оператором электронной площадки заказчику без указания сведений об участнике закупки, направившем данный запрос.</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В силу ч.8 ст.54.3 Закона о контрактной системе в течение двух рабочих дней с даты поступления от оператора электронной площадки указанного в ч.7 ст.54.3 Закона о контрактной системе запроса заказчик размещает в единой информационной системе разъяснения положений конкурсной документации </w:t>
      </w:r>
      <w:r>
        <w:rPr>
          <w:rStyle w:val="CharStyle16"/>
        </w:rPr>
        <w:t>с указанием предмета запроса</w:t>
      </w:r>
      <w:r>
        <w:rPr>
          <w:lang w:val="ru-RU" w:eastAsia="ru-RU" w:bidi="ru-RU"/>
          <w:w w:val="100"/>
          <w:spacing w:val="0"/>
          <w:color w:val="000000"/>
          <w:position w:val="0"/>
        </w:rPr>
        <w:t xml:space="preserve"> при условии, что указанный запрос поступил к заказчику не позднее чем за пять дней до даты окончания срока подачи заявок на участие в открытом конкурсе в электронной форме.</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Комиссией Управления установлено, что в нарушение ч.8 ст.54.3 Закона о контрактной системе разъяснения положений конкурсной документации от 09.02.2021 №3 не содержат предмета запроса.</w:t>
      </w:r>
    </w:p>
    <w:p>
      <w:pPr>
        <w:pStyle w:val="Style5"/>
        <w:numPr>
          <w:ilvl w:val="0"/>
          <w:numId w:val="7"/>
        </w:numPr>
        <w:tabs>
          <w:tab w:leader="none" w:pos="1148" w:val="left"/>
        </w:tabs>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п.8 ч.1 ст.54.3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ч.8 ст.32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соответствии с конкурсной документацией оценка заявок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Российской Федерации от 28.11.2013 г.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 с использованием не менее 2 критериев оценки заявок.</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При этом согласно п.3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Правил, лучших условий исполнения контракта, указанных в заявках (предложениях) участников закупки, которые не были отклонены.</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п.10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п.11 Правил для оценки заявок (предложений) по каждому критерию оценки используется 100-балльная шкала оценки. Если в соответствии с п.10 Правил оценки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соответствии с п.29 Правил оценки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Комиссией Управления установлено, что Заказчиком утвержден следующий порядок оценки конкурсных заявок по показателю «Опыт участника по успешному выполнению работ сопоставимого характера и объема»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spacing w:before="0" w:after="0" w:line="322" w:lineRule="exact"/>
        <w:ind w:left="20" w:right="0" w:firstLine="700"/>
      </w:pPr>
      <w:r>
        <w:rPr>
          <w:lang w:val="ru-RU" w:eastAsia="ru-RU" w:bidi="ru-RU"/>
          <w:w w:val="100"/>
          <w:spacing w:val="0"/>
          <w:color w:val="000000"/>
          <w:position w:val="0"/>
        </w:rPr>
        <w:t>«При оценке по данному показателю анализируется информация об опыте участника закупки из таблицы № 2 «Опыт участника открытого конкурса по успешному выполнению работ сопоставимого характера и объема» формы № 1 «Сведения о квалификации участника открытого конкурса в электронной форме» Раздела IV настоящей конкурсной документации. Под работами сопоставимого характера будут пониматься успешно исполненные контракты (гражданско- правовые договоры) без применения штрафов и пеней на выполнение работ по созданию, разработке, развитию, сопровождению информационных систем (подсистем) в сфере оказания государственных услуг и функций в электронной форме в качестве исполнителя/соисполнителя в федеральных органах государственной власти Российской Федерации и органах государственной власти субъектов Российской Федерации в период с 1 января 2015 г. до даты окончания подачи заявок на участие в настоящем открытом конкурсе.</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Под работами сопоставимого объема понимаются вышеуказанные работы с ценой каждого государственного контракта и (или) договора, не менее 50 % от начальной (максимальной) цены контракта, указанной в настоящей конкурсной документации.</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подтверждение опыта выполнения работ рассматриваются скан-копии заключенных и успешно исполненных без применения неустойки (штрафов и пеней) контрактов и (или) договоров, включая все приложения к ним, копии итоговых актов сдачи-приемки выполненных работ, актов сдачи-приемки оказанных услуг, а также иных документов, позволяющих сделать соответствующие выводы и определить состав и содержание работ, услуг.</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Лу</w:t>
      </w:r>
      <w:r>
        <w:rPr>
          <w:rStyle w:val="CharStyle12"/>
        </w:rPr>
        <w:t>чши</w:t>
      </w:r>
      <w:r>
        <w:rPr>
          <w:lang w:val="ru-RU" w:eastAsia="ru-RU" w:bidi="ru-RU"/>
          <w:w w:val="100"/>
          <w:spacing w:val="0"/>
          <w:color w:val="000000"/>
          <w:position w:val="0"/>
        </w:rPr>
        <w:t>м условием по данному показателю является наибольшее значение показателя.</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случае отсутствия в заявке подтверждающих документов, участнику открытого конкурса по показателю присваивается ноль баллов.</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Максимальное значение - предельно необходимое количество представленных контрактов и (или) гражданско-правовых договоров среди всех участников - наличие.</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Количество баллов по показателю </w:t>
      </w:r>
      <w:r>
        <w:rPr>
          <w:lang w:val="en-US" w:eastAsia="en-US" w:bidi="en-US"/>
          <w:w w:val="100"/>
          <w:spacing w:val="0"/>
          <w:color w:val="000000"/>
          <w:position w:val="0"/>
        </w:rPr>
        <w:t xml:space="preserve">(HUEi2) </w:t>
      </w:r>
      <w:r>
        <w:rPr>
          <w:lang w:val="ru-RU" w:eastAsia="ru-RU" w:bidi="ru-RU"/>
          <w:w w:val="100"/>
          <w:spacing w:val="0"/>
          <w:color w:val="000000"/>
          <w:position w:val="0"/>
        </w:rPr>
        <w:t>определяется по формуле (п. 24 Правил):</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а) в случае если Ктах &lt; Кпред, - по формуле: </w:t>
      </w:r>
      <w:r>
        <w:rPr>
          <w:rStyle w:val="CharStyle12"/>
        </w:rPr>
        <w:t>НЦБ</w:t>
      </w:r>
      <w:r>
        <w:rPr>
          <w:rStyle w:val="CharStyle17"/>
        </w:rPr>
        <w:t>1</w:t>
      </w:r>
      <w:r>
        <w:rPr>
          <w:lang w:val="ru-RU" w:eastAsia="ru-RU" w:bidi="ru-RU"/>
          <w:w w:val="100"/>
          <w:spacing w:val="0"/>
          <w:color w:val="000000"/>
          <w:position w:val="0"/>
        </w:rPr>
        <w:t>Ч = КЗП2х100 х(Ю/Ктах);</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б) в случае если Ктах &gt; Кпред, - по формуле: </w:t>
      </w:r>
      <w:r>
        <w:rPr>
          <w:rStyle w:val="CharStyle12"/>
        </w:rPr>
        <w:t>НЦ</w:t>
      </w:r>
      <w:r>
        <w:rPr>
          <w:lang w:val="ru-RU" w:eastAsia="ru-RU" w:bidi="ru-RU"/>
          <w:w w:val="100"/>
          <w:spacing w:val="0"/>
          <w:color w:val="000000"/>
          <w:position w:val="0"/>
        </w:rPr>
        <w:t>Б</w:t>
      </w:r>
      <w:r>
        <w:rPr>
          <w:rStyle w:val="CharStyle17"/>
        </w:rPr>
        <w:t>1</w:t>
      </w:r>
      <w:r>
        <w:rPr>
          <w:lang w:val="ru-RU" w:eastAsia="ru-RU" w:bidi="ru-RU"/>
          <w:w w:val="100"/>
          <w:spacing w:val="0"/>
          <w:color w:val="000000"/>
          <w:position w:val="0"/>
        </w:rPr>
        <w:t xml:space="preserve">Ч = КЗП2х100 </w:t>
      </w:r>
      <w:r>
        <w:rPr>
          <w:lang w:val="ru-RU" w:eastAsia="ru-RU" w:bidi="ru-RU"/>
          <w:vertAlign w:val="superscript"/>
          <w:w w:val="100"/>
          <w:spacing w:val="0"/>
          <w:color w:val="000000"/>
          <w:position w:val="0"/>
        </w:rPr>
        <w:t>Х</w:t>
      </w:r>
      <w:r>
        <w:rPr>
          <w:lang w:val="ru-RU" w:eastAsia="ru-RU" w:bidi="ru-RU"/>
          <w:w w:val="100"/>
          <w:spacing w:val="0"/>
          <w:color w:val="000000"/>
          <w:position w:val="0"/>
        </w:rPr>
        <w:t>(Ю/ Кпред);</w:t>
      </w:r>
    </w:p>
    <w:p>
      <w:pPr>
        <w:pStyle w:val="Style5"/>
        <w:widowControl w:val="0"/>
        <w:keepNext w:val="0"/>
        <w:keepLines w:val="0"/>
        <w:shd w:val="clear" w:color="auto" w:fill="auto"/>
        <w:bidi w:val="0"/>
        <w:spacing w:before="0" w:after="0" w:line="322" w:lineRule="exact"/>
        <w:ind w:left="20" w:right="0" w:firstLine="700"/>
      </w:pPr>
      <w:r>
        <w:rPr>
          <w:lang w:val="ru-RU" w:eastAsia="ru-RU" w:bidi="ru-RU"/>
          <w:w w:val="100"/>
          <w:spacing w:val="0"/>
          <w:color w:val="000000"/>
          <w:position w:val="0"/>
        </w:rPr>
        <w:t>при этом НЦБтах = КЗ3</w:t>
      </w:r>
      <w:r>
        <w:rPr>
          <w:rStyle w:val="CharStyle18"/>
        </w:rPr>
        <w:t>х100,</w:t>
      </w:r>
    </w:p>
    <w:p>
      <w:pPr>
        <w:pStyle w:val="Style5"/>
        <w:widowControl w:val="0"/>
        <w:keepNext w:val="0"/>
        <w:keepLines w:val="0"/>
        <w:shd w:val="clear" w:color="auto" w:fill="auto"/>
        <w:bidi w:val="0"/>
        <w:spacing w:before="0" w:after="0" w:line="322" w:lineRule="exact"/>
        <w:ind w:left="20" w:right="0" w:firstLine="700"/>
      </w:pPr>
      <w:r>
        <w:rPr>
          <w:lang w:val="ru-RU" w:eastAsia="ru-RU" w:bidi="ru-RU"/>
          <w:w w:val="100"/>
          <w:spacing w:val="0"/>
          <w:color w:val="000000"/>
          <w:position w:val="0"/>
        </w:rPr>
        <w:t>где:</w:t>
      </w:r>
    </w:p>
    <w:p>
      <w:pPr>
        <w:pStyle w:val="Style5"/>
        <w:widowControl w:val="0"/>
        <w:keepNext w:val="0"/>
        <w:keepLines w:val="0"/>
        <w:shd w:val="clear" w:color="auto" w:fill="auto"/>
        <w:bidi w:val="0"/>
        <w:spacing w:before="0" w:after="0" w:line="322" w:lineRule="exact"/>
        <w:ind w:left="20" w:right="0" w:firstLine="700"/>
      </w:pPr>
      <w:r>
        <w:rPr>
          <w:lang w:val="ru-RU" w:eastAsia="ru-RU" w:bidi="ru-RU"/>
          <w:w w:val="100"/>
          <w:spacing w:val="0"/>
          <w:color w:val="000000"/>
          <w:position w:val="0"/>
        </w:rPr>
        <w:t>КЗП2- коэффициент значимости показателя (0,6);</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К - предложение участника открытого конкурса, заявка (предложение) которого оценивается;</w:t>
      </w:r>
    </w:p>
    <w:p>
      <w:pPr>
        <w:pStyle w:val="Style5"/>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Ктах - максимальное предложение из предложений по показателю оценки, сделанных участниками открытого конкурса;</w:t>
      </w:r>
    </w:p>
    <w:p>
      <w:pPr>
        <w:pStyle w:val="Style5"/>
        <w:widowControl w:val="0"/>
        <w:keepNext w:val="0"/>
        <w:keepLines w:val="0"/>
        <w:shd w:val="clear" w:color="auto" w:fill="auto"/>
        <w:bidi w:val="0"/>
        <w:spacing w:before="0" w:after="0" w:line="322" w:lineRule="exact"/>
        <w:ind w:left="0" w:right="0" w:firstLine="700"/>
      </w:pPr>
      <w:r>
        <w:rPr>
          <w:lang w:val="ru-RU" w:eastAsia="ru-RU" w:bidi="ru-RU"/>
          <w:w w:val="100"/>
          <w:spacing w:val="0"/>
          <w:color w:val="000000"/>
          <w:position w:val="0"/>
        </w:rPr>
        <w:t>Кпред - предельно необходимое заказчику указанное значение характеристик;</w:t>
      </w:r>
    </w:p>
    <w:p>
      <w:pPr>
        <w:pStyle w:val="Style5"/>
        <w:widowControl w:val="0"/>
        <w:keepNext w:val="0"/>
        <w:keepLines w:val="0"/>
        <w:shd w:val="clear" w:color="auto" w:fill="auto"/>
        <w:bidi w:val="0"/>
        <w:spacing w:before="0" w:after="0" w:line="322" w:lineRule="exact"/>
        <w:ind w:left="0" w:right="20" w:firstLine="700"/>
      </w:pPr>
      <w:r>
        <w:rPr>
          <w:rStyle w:val="CharStyle12"/>
        </w:rPr>
        <w:t>НЦ</w:t>
      </w:r>
      <w:r>
        <w:rPr>
          <w:lang w:val="ru-RU" w:eastAsia="ru-RU" w:bidi="ru-RU"/>
          <w:w w:val="100"/>
          <w:spacing w:val="0"/>
          <w:color w:val="000000"/>
          <w:position w:val="0"/>
        </w:rPr>
        <w:t>Бтах - количество баллов по показателю, присуждаемых участникам открытого конкурса, предложение которых превышает предельно необходимое максимальное значение, установленное заказчиком.</w:t>
      </w:r>
    </w:p>
    <w:p>
      <w:pPr>
        <w:pStyle w:val="Style5"/>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Максимальное значение баллов по показателю «Опыт участника по успешному выполнению работ сопоставимого характера и объема» не должно превышать 60 баллов.</w:t>
      </w:r>
    </w:p>
    <w:p>
      <w:pPr>
        <w:pStyle w:val="Style5"/>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Итоговый рейтинг заявки (предложения) (Р^ участника закупки, заявка (предложение) которого оценивается, вычисляется как сумма рейтингов по каждому критерию оценки заявки (предложения), а именно:</w:t>
      </w:r>
    </w:p>
    <w:p>
      <w:pPr>
        <w:pStyle w:val="Style5"/>
        <w:widowControl w:val="0"/>
        <w:keepNext w:val="0"/>
        <w:keepLines w:val="0"/>
        <w:shd w:val="clear" w:color="auto" w:fill="auto"/>
        <w:bidi w:val="0"/>
        <w:spacing w:before="0" w:after="0" w:line="322" w:lineRule="exact"/>
        <w:ind w:left="0" w:right="0" w:firstLine="700"/>
      </w:pPr>
      <w:r>
        <w:rPr>
          <w:lang w:val="en-US" w:eastAsia="en-US" w:bidi="en-US"/>
          <w:w w:val="100"/>
          <w:spacing w:val="0"/>
          <w:color w:val="000000"/>
          <w:position w:val="0"/>
        </w:rPr>
        <w:t xml:space="preserve">Pi </w:t>
      </w:r>
      <w:r>
        <w:rPr>
          <w:lang w:val="ru-RU" w:eastAsia="ru-RU" w:bidi="ru-RU"/>
          <w:w w:val="100"/>
          <w:spacing w:val="0"/>
          <w:color w:val="000000"/>
          <w:position w:val="0"/>
        </w:rPr>
        <w:t>= ЦБ^КЗ1 + КБП*КЗ2 +(НЦБ1~2 + НЦБ1.3)*КЗ3,</w:t>
      </w:r>
    </w:p>
    <w:p>
      <w:pPr>
        <w:pStyle w:val="Style5"/>
        <w:widowControl w:val="0"/>
        <w:keepNext w:val="0"/>
        <w:keepLines w:val="0"/>
        <w:shd w:val="clear" w:color="auto" w:fill="auto"/>
        <w:bidi w:val="0"/>
        <w:spacing w:before="0" w:after="0" w:line="322" w:lineRule="exact"/>
        <w:ind w:left="0" w:right="0" w:firstLine="700"/>
      </w:pPr>
      <w:r>
        <w:rPr>
          <w:lang w:val="ru-RU" w:eastAsia="ru-RU" w:bidi="ru-RU"/>
          <w:w w:val="100"/>
          <w:spacing w:val="0"/>
          <w:color w:val="000000"/>
          <w:position w:val="0"/>
        </w:rPr>
        <w:t>где:</w:t>
      </w:r>
    </w:p>
    <w:p>
      <w:pPr>
        <w:pStyle w:val="Style5"/>
        <w:widowControl w:val="0"/>
        <w:keepNext w:val="0"/>
        <w:keepLines w:val="0"/>
        <w:shd w:val="clear" w:color="auto" w:fill="auto"/>
        <w:bidi w:val="0"/>
        <w:spacing w:before="0" w:after="0" w:line="322" w:lineRule="exact"/>
        <w:ind w:left="0" w:right="20" w:firstLine="700"/>
      </w:pPr>
      <w:r>
        <w:rPr>
          <w:lang w:val="en-US" w:eastAsia="en-US" w:bidi="en-US"/>
          <w:w w:val="100"/>
          <w:spacing w:val="0"/>
          <w:color w:val="000000"/>
          <w:position w:val="0"/>
        </w:rPr>
        <w:t xml:space="preserve">Рi </w:t>
      </w:r>
      <w:r>
        <w:rPr>
          <w:lang w:val="ru-RU" w:eastAsia="ru-RU" w:bidi="ru-RU"/>
          <w:w w:val="100"/>
          <w:spacing w:val="0"/>
          <w:color w:val="000000"/>
          <w:position w:val="0"/>
        </w:rPr>
        <w:t>- итоговый рейтинг заявки (предложения) участника закупки, заявка (предложение) которого оценивается;</w:t>
      </w:r>
    </w:p>
    <w:p>
      <w:pPr>
        <w:pStyle w:val="Style5"/>
        <w:widowControl w:val="0"/>
        <w:keepNext w:val="0"/>
        <w:keepLines w:val="0"/>
        <w:shd w:val="clear" w:color="auto" w:fill="auto"/>
        <w:bidi w:val="0"/>
        <w:spacing w:before="0" w:after="0" w:line="322" w:lineRule="exact"/>
        <w:ind w:left="0" w:right="0" w:firstLine="700"/>
      </w:pPr>
      <w:r>
        <w:rPr>
          <w:lang w:val="ru-RU" w:eastAsia="ru-RU" w:bidi="ru-RU"/>
          <w:w w:val="100"/>
          <w:spacing w:val="0"/>
          <w:color w:val="000000"/>
          <w:position w:val="0"/>
        </w:rPr>
        <w:t>КЗ1 - коэффициент значимости критерия «Цена контракта».</w:t>
      </w:r>
    </w:p>
    <w:p>
      <w:pPr>
        <w:pStyle w:val="Style5"/>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КЗ2 - коэффициент значимости критерия «Качественные, функциональные и экологические характеристики объекта закупки».</w:t>
      </w:r>
    </w:p>
    <w:p>
      <w:pPr>
        <w:pStyle w:val="Style5"/>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КЗ3 - коэффициент значимости критерия «Квалификация участников открытого конкурса,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специалистов и иных работников определенного уровня квалификации».</w:t>
      </w:r>
    </w:p>
    <w:p>
      <w:pPr>
        <w:pStyle w:val="Style5"/>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Заявке (предложению) на участие в открытом конкурсе, которая по результатам оценки получает максимальное количество баллов, присваивается первый номер. Последующие номера присваиваются заявкам (предложениям) на участие в открытом конкурсе по мере уменьшения суммарного количества баллов. На основании результатов оценки заявок на участие в конкурсе Единая комиссия присваивает каждой заявке на участие в конкурсе порядковый номер в порядке уменьшения итоговых рейтингов заявок (предложений) (уменьшения степени выгодности содержащихся в них условий исполнения контракта). В случае если несколько заявок (предложений) на участие в конкурсе получили одинаковый итоговый рейтинг (в нескольких заявках на участие в конкурсе содержатся одинаковые условия исполнения контракта), меньший порядковый номер присваивается заявке (предложению) на участие в конкурсе, которая поступила ранее других заявок (предложений) на участие в конкурсе, имеющих такой же итоговый рейтинг (содержащих такие же условия)».</w:t>
      </w:r>
    </w:p>
    <w:p>
      <w:pPr>
        <w:pStyle w:val="Style5"/>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Комиссия Управления отмечает, что в порядке оценки Заказчиком упомянуто Кпред как предельное значение показателя опыта без конкретизации предельной суммы контрактов, что не позволяет по существу идентифицировать предмет оценки.</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Между тем, при установлении Заказчиком Кпред по показателю «Опыт участника открытого конкурса по успешному выполнению работ сопоставимого характера и объема», например в размере 50 млн. руб совокупного объема исполненных контрактов в денежном выражении, участник закупки, который успешно исполнил, например, 3 контракта на сумму 50 млн руб., поставлен в равные условия с тем участником закупки, который имеет успушный опыт исполнения 20 соответствующих порядку оценки контрактов, например на сумму 200 млн руб.</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При этом, очевидно, что существо показателя опыта заключается в выявлении наиболее опытного участника закупки, однако установление Кпред оцениваемого опыта ставит участников закупки на один уровень оценки опыта, что не отвечает цели самого показателя и самому определения понятия «оценки», суть которого заключается в выявлении лучших условий исполнения контракта, лучшего исполнителя, а в данном конкретно случае относительно показателя опыта — наиболее опытного исполнителя.</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Одновременно с этим Комиссия Управления обращает внимание на то, что Заказчиком в порядке оценки по вышеописанному показателю «Опыт участника открытого конкурса по успешному выполнению работ сопоставимого характера и объема» указано на оценку успешно исполненных контрактов (гражданско- правовых договоров) без применения штрафов и пеней с ценой не менее 50 % от начальной (максимальной) цены контракта, что вступает в противоречие с практикой ФАС России, отраженной в решении Комиссии ФАС России по делу № 20/44/99/П43 от 04.12.2020 (по закупочной процедуре 0373100040120000424) и по делу №21/44/105/101 от 09.02.2021 (по закупочной процедуре 0172200002520000339).</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Заказчиком положений п.8 ч.1 ст.54.3, ч.8 ст.32 Закона о контрактной системе.</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r>
        <w:br w:type="page"/>
      </w:r>
    </w:p>
    <w:p>
      <w:pPr>
        <w:pStyle w:val="Style8"/>
        <w:widowControl w:val="0"/>
        <w:keepNext w:val="0"/>
        <w:keepLines w:val="0"/>
        <w:shd w:val="clear" w:color="auto" w:fill="auto"/>
        <w:bidi w:val="0"/>
        <w:jc w:val="center"/>
        <w:spacing w:before="0" w:after="304" w:line="260" w:lineRule="exact"/>
        <w:ind w:left="0" w:right="0" w:firstLine="0"/>
      </w:pPr>
      <w:r>
        <w:rPr>
          <w:lang w:val="ru-RU" w:eastAsia="ru-RU" w:bidi="ru-RU"/>
          <w:w w:val="100"/>
          <w:spacing w:val="0"/>
          <w:color w:val="000000"/>
          <w:position w:val="0"/>
        </w:rPr>
        <w:t>Р Е Ш И Л А:</w:t>
      </w:r>
    </w:p>
    <w:p>
      <w:pPr>
        <w:pStyle w:val="Style5"/>
        <w:numPr>
          <w:ilvl w:val="0"/>
          <w:numId w:val="9"/>
        </w:numPr>
        <w:widowControl w:val="0"/>
        <w:keepNext w:val="0"/>
        <w:keepLines w:val="0"/>
        <w:shd w:val="clear" w:color="auto" w:fill="auto"/>
        <w:bidi w:val="0"/>
        <w:jc w:val="left"/>
        <w:spacing w:before="0" w:after="0" w:line="326" w:lineRule="exact"/>
        <w:ind w:left="0" w:right="20" w:firstLine="720"/>
      </w:pPr>
      <w:r>
        <w:rPr>
          <w:lang w:val="ru-RU" w:eastAsia="ru-RU" w:bidi="ru-RU"/>
          <w:w w:val="100"/>
          <w:spacing w:val="0"/>
          <w:color w:val="000000"/>
          <w:position w:val="0"/>
        </w:rPr>
        <w:t xml:space="preserve"> Признать жалобу ООО «Моризо Диджитал» на действия ФГБУ «ФКП Росреестра» необоснованной.</w:t>
      </w:r>
    </w:p>
    <w:p>
      <w:pPr>
        <w:pStyle w:val="Style5"/>
        <w:numPr>
          <w:ilvl w:val="0"/>
          <w:numId w:val="9"/>
        </w:numPr>
        <w:widowControl w:val="0"/>
        <w:keepNext w:val="0"/>
        <w:keepLines w:val="0"/>
        <w:shd w:val="clear" w:color="auto" w:fill="auto"/>
        <w:bidi w:val="0"/>
        <w:jc w:val="left"/>
        <w:spacing w:before="0" w:after="0" w:line="322" w:lineRule="exact"/>
        <w:ind w:left="0" w:right="20" w:firstLine="720"/>
      </w:pPr>
      <w:r>
        <w:rPr>
          <w:lang w:val="ru-RU" w:eastAsia="ru-RU" w:bidi="ru-RU"/>
          <w:w w:val="100"/>
          <w:spacing w:val="0"/>
          <w:color w:val="000000"/>
          <w:position w:val="0"/>
        </w:rPr>
        <w:t xml:space="preserve"> Признать в действиях Заказчика нарушение ч.3 ст.14, п.10 ст.42, ч.1 ст.54.3, ч.8 ст.54.3, п.8 ч.1 ст.54.3, ч.8 ст.32 Закона о контрактной системе.</w:t>
      </w:r>
    </w:p>
    <w:p>
      <w:pPr>
        <w:pStyle w:val="Style5"/>
        <w:numPr>
          <w:ilvl w:val="0"/>
          <w:numId w:val="9"/>
        </w:numPr>
        <w:widowControl w:val="0"/>
        <w:keepNext w:val="0"/>
        <w:keepLines w:val="0"/>
        <w:shd w:val="clear" w:color="auto" w:fill="auto"/>
        <w:bidi w:val="0"/>
        <w:jc w:val="left"/>
        <w:spacing w:before="0" w:after="296" w:line="317" w:lineRule="exact"/>
        <w:ind w:left="0" w:right="20" w:firstLine="72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widowControl w:val="0"/>
        <w:keepNext w:val="0"/>
        <w:keepLines w:val="0"/>
        <w:shd w:val="clear" w:color="auto" w:fill="auto"/>
        <w:bidi w:val="0"/>
        <w:jc w:val="left"/>
        <w:spacing w:before="0" w:after="0" w:line="322" w:lineRule="exact"/>
        <w:ind w:left="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w:t>
      </w:r>
    </w:p>
    <w:p>
      <w:pPr>
        <w:pStyle w:val="Style5"/>
        <w:widowControl w:val="0"/>
        <w:keepNext w:val="0"/>
        <w:keepLines w:val="0"/>
        <w:shd w:val="clear" w:color="auto" w:fill="auto"/>
        <w:bidi w:val="0"/>
        <w:jc w:val="left"/>
        <w:spacing w:before="0" w:after="352" w:line="260" w:lineRule="exact"/>
        <w:ind w:left="180" w:right="0"/>
      </w:pPr>
      <w:r>
        <w:rPr>
          <w:lang w:val="ru-RU" w:eastAsia="ru-RU" w:bidi="ru-RU"/>
          <w:w w:val="100"/>
          <w:spacing w:val="0"/>
          <w:color w:val="000000"/>
          <w:position w:val="0"/>
        </w:rPr>
        <w:t>гл. 24 АПК РФ.</w:t>
      </w:r>
    </w:p>
    <w:p>
      <w:pPr>
        <w:pStyle w:val="Style5"/>
        <w:framePr w:h="245" w:vSpace="720" w:wrap="around" w:vAnchor="text" w:hAnchor="margin" w:x="8294" w:y="1"/>
        <w:widowControl w:val="0"/>
        <w:keepNext w:val="0"/>
        <w:keepLines w:val="0"/>
        <w:shd w:val="clear" w:color="auto" w:fill="auto"/>
        <w:bidi w:val="0"/>
        <w:jc w:val="left"/>
        <w:spacing w:before="0" w:after="0" w:line="230" w:lineRule="exact"/>
        <w:ind w:left="100" w:right="0" w:firstLine="0"/>
      </w:pPr>
      <w:r>
        <w:rPr>
          <w:rStyle w:val="CharStyle6"/>
          <w:spacing w:val="0"/>
        </w:rPr>
        <w:t>Л.Н. Харченко</w:t>
      </w:r>
    </w:p>
    <w:p>
      <w:pPr>
        <w:pStyle w:val="Style5"/>
        <w:widowControl w:val="0"/>
        <w:keepNext w:val="0"/>
        <w:keepLines w:val="0"/>
        <w:shd w:val="clear" w:color="auto" w:fill="auto"/>
        <w:bidi w:val="0"/>
        <w:jc w:val="left"/>
        <w:spacing w:before="0" w:after="352" w:line="260" w:lineRule="exact"/>
        <w:ind w:left="180" w:right="0"/>
      </w:pPr>
      <w:r>
        <w:rPr>
          <w:lang w:val="ru-RU" w:eastAsia="ru-RU" w:bidi="ru-RU"/>
          <w:w w:val="100"/>
          <w:spacing w:val="0"/>
          <w:color w:val="000000"/>
          <w:position w:val="0"/>
        </w:rPr>
        <w:t>Председатель Комиссии</w:t>
      </w:r>
    </w:p>
    <w:p>
      <w:pPr>
        <w:pStyle w:val="Style5"/>
        <w:framePr w:h="238" w:wrap="around" w:vAnchor="text" w:hAnchor="margin" w:x="8678" w:y="1"/>
        <w:widowControl w:val="0"/>
        <w:keepNext w:val="0"/>
        <w:keepLines w:val="0"/>
        <w:shd w:val="clear" w:color="auto" w:fill="auto"/>
        <w:bidi w:val="0"/>
        <w:jc w:val="left"/>
        <w:spacing w:before="0" w:after="0" w:line="230" w:lineRule="exact"/>
        <w:ind w:left="100" w:right="0" w:firstLine="0"/>
      </w:pPr>
      <w:r>
        <w:rPr>
          <w:rStyle w:val="CharStyle6"/>
          <w:spacing w:val="0"/>
        </w:rPr>
        <w:t>К.А. Сомов</w:t>
      </w:r>
    </w:p>
    <w:p>
      <w:pPr>
        <w:pStyle w:val="Style5"/>
        <w:framePr w:h="243" w:wrap="around" w:vAnchor="text" w:hAnchor="margin" w:x="8375" w:y="644"/>
        <w:widowControl w:val="0"/>
        <w:keepNext w:val="0"/>
        <w:keepLines w:val="0"/>
        <w:shd w:val="clear" w:color="auto" w:fill="auto"/>
        <w:bidi w:val="0"/>
        <w:jc w:val="left"/>
        <w:spacing w:before="0" w:after="0" w:line="230" w:lineRule="exact"/>
        <w:ind w:left="100" w:right="0" w:firstLine="0"/>
      </w:pPr>
      <w:r>
        <w:rPr>
          <w:rStyle w:val="CharStyle6"/>
          <w:spacing w:val="0"/>
        </w:rPr>
        <w:t>А.З. Касимова</w:t>
      </w:r>
    </w:p>
    <w:p>
      <w:pPr>
        <w:pStyle w:val="Style5"/>
        <w:widowControl w:val="0"/>
        <w:keepNext w:val="0"/>
        <w:keepLines w:val="0"/>
        <w:shd w:val="clear" w:color="auto" w:fill="auto"/>
        <w:bidi w:val="0"/>
        <w:jc w:val="left"/>
        <w:spacing w:before="0" w:after="347" w:line="260" w:lineRule="exact"/>
        <w:ind w:left="180" w:right="0"/>
      </w:pPr>
      <w:r>
        <w:rPr>
          <w:lang w:val="ru-RU" w:eastAsia="ru-RU" w:bidi="ru-RU"/>
          <w:w w:val="100"/>
          <w:spacing w:val="0"/>
          <w:color w:val="000000"/>
          <w:position w:val="0"/>
        </w:rPr>
        <w:t>Заместитель председателя Комиссии</w:t>
      </w:r>
    </w:p>
    <w:p>
      <w:pPr>
        <w:pStyle w:val="Style5"/>
        <w:widowControl w:val="0"/>
        <w:keepNext w:val="0"/>
        <w:keepLines w:val="0"/>
        <w:shd w:val="clear" w:color="auto" w:fill="auto"/>
        <w:bidi w:val="0"/>
        <w:jc w:val="left"/>
        <w:spacing w:before="0" w:after="5698" w:line="260" w:lineRule="exact"/>
        <w:ind w:left="180" w:right="0"/>
      </w:pPr>
      <w:r>
        <w:rPr>
          <w:lang w:val="ru-RU" w:eastAsia="ru-RU" w:bidi="ru-RU"/>
          <w:w w:val="100"/>
          <w:spacing w:val="0"/>
          <w:color w:val="000000"/>
          <w:position w:val="0"/>
        </w:rPr>
        <w:t>Член Комиссии</w:t>
      </w:r>
    </w:p>
    <w:p>
      <w:pPr>
        <w:pStyle w:val="Style19"/>
        <w:widowControl w:val="0"/>
        <w:keepNext w:val="0"/>
        <w:keepLines w:val="0"/>
        <w:shd w:val="clear" w:color="auto" w:fill="auto"/>
        <w:bidi w:val="0"/>
        <w:jc w:val="left"/>
        <w:spacing w:before="0" w:after="0"/>
        <w:ind w:left="180" w:right="4260"/>
      </w:pPr>
      <w:r>
        <w:rPr>
          <w:lang w:val="ru-RU" w:eastAsia="ru-RU" w:bidi="ru-RU"/>
          <w:w w:val="100"/>
          <w:spacing w:val="0"/>
          <w:color w:val="000000"/>
          <w:position w:val="0"/>
        </w:rPr>
        <w:t xml:space="preserve">Исп. Сомов Кирилл Александрович (495) 784-75-05 (077-143) </w:t>
      </w:r>
      <w:r>
        <w:rPr>
          <w:rStyle w:val="CharStyle21"/>
          <w:b w:val="0"/>
          <w:bCs w:val="0"/>
        </w:rPr>
        <w:t>2021-10490</w:t>
      </w:r>
    </w:p>
    <w:sectPr>
      <w:footnotePr>
        <w:pos w:val="pageBottom"/>
        <w:numFmt w:val="decimal"/>
        <w:numRestart w:val="continuous"/>
      </w:footnotePr>
      <w:type w:val="continuous"/>
      <w:pgSz w:w="11906" w:h="16838"/>
      <w:pgMar w:top="1319" w:left="851" w:right="835" w:bottom="125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3"/>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7"/>
    <w:rPr>
      <w:lang w:val="ru-RU" w:eastAsia="ru-RU" w:bidi="ru-RU"/>
      <w:u w:val="single"/>
      <w:w w:val="100"/>
      <w:spacing w:val="0"/>
      <w:color w:val="000000"/>
      <w:position w:val="0"/>
    </w:rPr>
  </w:style>
  <w:style w:type="character" w:customStyle="1" w:styleId="CharStyle14">
    <w:name w:val="Основной текст (3)_"/>
    <w:basedOn w:val="DefaultParagraphFont"/>
    <w:link w:val="Style13"/>
    <w:rPr>
      <w:b w:val="0"/>
      <w:bCs w:val="0"/>
      <w:i/>
      <w:iCs/>
      <w:u w:val="none"/>
      <w:strike w:val="0"/>
      <w:smallCaps w:val="0"/>
      <w:sz w:val="26"/>
      <w:szCs w:val="26"/>
      <w:rFonts w:ascii="Times New Roman" w:eastAsia="Times New Roman" w:hAnsi="Times New Roman" w:cs="Times New Roman"/>
    </w:rPr>
  </w:style>
  <w:style w:type="character" w:customStyle="1" w:styleId="CharStyle15">
    <w:name w:val="Основной текст (3) + Не курсив"/>
    <w:basedOn w:val="CharStyle14"/>
    <w:rPr>
      <w:lang w:val="ru-RU" w:eastAsia="ru-RU" w:bidi="ru-RU"/>
      <w:i/>
      <w:iCs/>
      <w:w w:val="100"/>
      <w:spacing w:val="0"/>
      <w:color w:val="000000"/>
      <w:position w:val="0"/>
    </w:rPr>
  </w:style>
  <w:style w:type="character" w:customStyle="1" w:styleId="CharStyle16">
    <w:name w:val="Основной текст + Курсив"/>
    <w:basedOn w:val="CharStyle7"/>
    <w:rPr>
      <w:lang w:val="ru-RU" w:eastAsia="ru-RU" w:bidi="ru-RU"/>
      <w:i/>
      <w:iCs/>
      <w:w w:val="100"/>
      <w:spacing w:val="0"/>
      <w:color w:val="000000"/>
      <w:position w:val="0"/>
    </w:rPr>
  </w:style>
  <w:style w:type="character" w:customStyle="1" w:styleId="CharStyle17">
    <w:name w:val="Основной текст + 8,5 pt"/>
    <w:basedOn w:val="CharStyle7"/>
    <w:rPr>
      <w:lang w:val="ru-RU" w:eastAsia="ru-RU" w:bidi="ru-RU"/>
      <w:sz w:val="17"/>
      <w:szCs w:val="17"/>
      <w:w w:val="100"/>
      <w:spacing w:val="0"/>
      <w:color w:val="000000"/>
      <w:position w:val="0"/>
    </w:rPr>
  </w:style>
  <w:style w:type="character" w:customStyle="1" w:styleId="CharStyle18">
    <w:name w:val="Основной текст + Малые прописные"/>
    <w:basedOn w:val="CharStyle7"/>
    <w:rPr>
      <w:lang w:val="ru-RU" w:eastAsia="ru-RU" w:bidi="ru-RU"/>
      <w:smallCaps/>
      <w:w w:val="100"/>
      <w:spacing w:val="0"/>
      <w:color w:val="000000"/>
      <w:position w:val="0"/>
    </w:rPr>
  </w:style>
  <w:style w:type="character" w:customStyle="1" w:styleId="CharStyle20">
    <w:name w:val="Основной текст (4)_"/>
    <w:basedOn w:val="DefaultParagraphFont"/>
    <w:link w:val="Style19"/>
    <w:rPr>
      <w:b/>
      <w:bCs/>
      <w:i w:val="0"/>
      <w:iCs w:val="0"/>
      <w:u w:val="none"/>
      <w:strike w:val="0"/>
      <w:smallCaps w:val="0"/>
      <w:sz w:val="18"/>
      <w:szCs w:val="18"/>
      <w:rFonts w:ascii="Times New Roman" w:eastAsia="Times New Roman" w:hAnsi="Times New Roman" w:cs="Times New Roman"/>
    </w:rPr>
  </w:style>
  <w:style w:type="character" w:customStyle="1" w:styleId="CharStyle21">
    <w:name w:val="Основной текст (4) + 11 pt,Не полужирный"/>
    <w:basedOn w:val="CharStyle20"/>
    <w:rPr>
      <w:lang w:val="ru-RU" w:eastAsia="ru-RU" w:bidi="ru-RU"/>
      <w:b/>
      <w:bCs/>
      <w:sz w:val="22"/>
      <w:szCs w:val="22"/>
      <w:w w:val="100"/>
      <w:spacing w:val="0"/>
      <w:color w:val="000000"/>
      <w:position w:val="0"/>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jc w:val="both"/>
      <w:spacing w:after="360" w:line="0" w:lineRule="exact"/>
      <w:ind w:hanging="180"/>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36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both"/>
      <w:spacing w:line="322"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19">
    <w:name w:val="Основной текст (4)"/>
    <w:basedOn w:val="Normal"/>
    <w:link w:val="CharStyle20"/>
    <w:pPr>
      <w:widowControl w:val="0"/>
      <w:shd w:val="clear" w:color="auto" w:fill="FFFFFF"/>
      <w:spacing w:before="6840" w:line="1536" w:lineRule="exact"/>
      <w:ind w:hanging="180"/>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