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numPr>
          <w:ilvl w:val="0"/>
          <w:numId w:val="1"/>
        </w:numPr>
        <w:tabs>
          <w:tab w:leader="none" w:pos="5618" w:val="left"/>
        </w:tabs>
        <w:widowControl w:val="0"/>
        <w:keepNext w:val="0"/>
        <w:keepLines w:val="0"/>
        <w:shd w:val="clear" w:color="auto" w:fill="auto"/>
        <w:bidi w:val="0"/>
        <w:spacing w:before="0" w:after="247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ФГБУ «ФКП Росреестра»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46" w:line="317" w:lineRule="exact"/>
        <w:ind w:left="5320" w:right="3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Орликов пер., д. 10, стр. 1, г. Москва, 107078, </w:t>
      </w:r>
      <w:r>
        <w:fldChar w:fldCharType="begin"/>
      </w:r>
      <w:r>
        <w:rPr>
          <w:color w:val="000000"/>
        </w:rPr>
        <w:instrText> HYPERLINK "mailto:DenisovDG@kadastr.ru"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DenisovDG@kadastr.ru</w:t>
      </w:r>
      <w:r>
        <w:fldChar w:fldCharType="end"/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243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ООО «Моризо Диджитал»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49" w:line="322" w:lineRule="exact"/>
        <w:ind w:left="53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Нестерова, д. 5, пом. 24, г. Нижний Новгород, 603005, </w:t>
      </w:r>
      <w:r>
        <w:fldChar w:fldCharType="begin"/>
      </w:r>
      <w:r>
        <w:rPr>
          <w:color w:val="000000"/>
        </w:rPr>
        <w:instrText> HYPERLINK "mailto:a.kolchin@e-promo.ru"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a.kolchin@e-promo.ru</w:t>
      </w:r>
      <w:r>
        <w:fldChar w:fldCharType="end"/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243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АО «ЭТС»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60" w:line="322" w:lineRule="exact"/>
        <w:ind w:left="5320" w:right="3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Тестовская ул., д. 10, эт. 25, г. Москва, 123112, </w:t>
      </w:r>
      <w:r>
        <w:fldChar w:fldCharType="begin"/>
      </w:r>
      <w:r>
        <w:rPr>
          <w:color w:val="000000"/>
        </w:rPr>
        <w:instrText> HYPERLINK "mailto:info@etpz.ru"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info@etpz.ru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, </w:t>
      </w:r>
      <w:r>
        <w:fldChar w:fldCharType="begin"/>
      </w:r>
      <w:r>
        <w:rPr>
          <w:color w:val="000000"/>
        </w:rPr>
        <w:instrText> HYPERLINK "mailto:auditors@etpz.ru"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auditors@etpz.ru</w:t>
      </w:r>
      <w:r>
        <w:fldChar w:fldCharType="end"/>
      </w:r>
    </w:p>
    <w:p>
      <w:pPr>
        <w:pStyle w:val="Style6"/>
        <w:tabs>
          <w:tab w:leader="none" w:pos="9030" w:val="center"/>
          <w:tab w:leader="none" w:pos="10158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№077/06/106-2286/2021 об устранении нарушений законодательства о контрактной системе 15.02.2021</w:t>
        <w:tab/>
        <w:t>г.</w:t>
        <w:tab/>
        <w:t>Москва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Председателя Комиссии — начальника отдела обжалования государственных закупок Л.Н. Харченко,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— главного государственного инспектора отдела обжалования государственных закупок К.А. Сомова,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Члена Комиссии — специалиста 1 разряда отдела обжалования государственных закупок А.З. Касимовой,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96" w:line="322" w:lineRule="exact"/>
        <w:ind w:left="20" w:right="2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основании решения Комиссии </w:t>
      </w:r>
      <w:r>
        <w:rPr>
          <w:rStyle w:val="CharStyle8"/>
        </w:rPr>
        <w:t>от 15.02.2021 по делу №077/06/106</w:t>
        <w:softHyphen/>
        <w:t>2286/2021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по итогам рассмотрения жалобы ООО «Моризо Диджитал» (далее — Заявитель) на действия ФГБУ «ФКП Росреестра» (далее-Заказчик) при проведении открытого конкурса в электронной форме на право заключения государственного контракта на создание федеральной государственной информационной системы Единый информационный ресурс о земле и недвижимости в рамках эксперимента по созданию единого информационного ресурса о земле и недвижимости на территории отдельных муниципальных образований Краснодарского края, Пермского края, Иркутской области и Республики Татарстан (Закупка № 0373100128521000002) (далее - Конкурс)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000552051809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03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ФАС России от 19.11.2014 № 727/14,</w:t>
      </w:r>
    </w:p>
    <w:p>
      <w:pPr>
        <w:pStyle w:val="Style11"/>
        <w:widowControl w:val="0"/>
        <w:keepNext/>
        <w:keepLines/>
        <w:shd w:val="clear" w:color="auto" w:fill="auto"/>
        <w:bidi w:val="0"/>
        <w:jc w:val="left"/>
        <w:spacing w:before="0" w:after="0"/>
        <w:ind w:left="416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0"/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Конкурсной комиссии отменить Протокол подведения итогов, Протокол рассмотрения и оценки вторых частей заявок, Протокол рассмотрения и оценки первых частей заявок, в случае единственной поданной заявки на участие в открытом конкурсе в электронной форме Протокол рассмотрения единственной заявки (далее - Протоколы).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83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Протокол окончательных предложений о цене контракта;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вернуть участникам закупки ранее поданные заявки на участие в конкурсе;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уведомить участников закупки, подавших заявки на участие в конкурсе, в том числе Заявителя, об отмене Протоколов, Протокола окончательных предложений о цене контракта, о прекращении действия заявок, поданных на участие в конкурсе, и о возможности подать новые заявки на участие в конкурсе;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прекратить блокирование операций по счетам для проведения операций по обеспечению участия в электронном конкурсе, открытых участникам закупки, подавшим заявки на участие в конкурсе, в отношении денежных средств в размере обеспечения заявки на участие в конкурсе.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35" w:line="260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- привести документацию об электронном конкурсе в соответствие с требованиями Закона о контрактной системе и с учетом решения </w:t>
      </w:r>
      <w:r>
        <w:rPr>
          <w:rStyle w:val="CharStyle8"/>
        </w:rPr>
        <w:t xml:space="preserve">от 15.02.2021 по делу №077/06/106-2286/2021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 разместить соответствующую документацию в единой информационной системе;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назначить новую дату и время окончания срока подачи заявок на участие в конкурсе, дату и время рассмотрения и оценки первых частей заявок на участие в конкурсе, дату подачи участниками открытого конкурса в электронной форме окончательных предложений о цене контракта, дату и время рассмотрения и оценки вторых частей заявок на участие в конкурсе, а также разместить в единой информационной системе информацию о новой дате и времени окончания срока подачи заявок на участие в конкурсе, дате и времени рассмотрения и оценки первых частей заявок на участие в конкурсе, дате и времени подачи участниками открытого конкурса в электронной форме окончательных предложений о цене контракта, дате и времени рассмотрения и оценки вторых частей заявок на участие в конкурсе. При этом дата окончания срока подачи заявок на участие в конкурсе должна быть назначена в соответствии с ч.6 ст.54.3 Закона о контрактной системе.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83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назначить дату подачи окончательных предложений и разместить на электронной площадке информацию о времени начала и окончания подачи окончательных предложений;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уведомить участников закупки, подавших заявки на участие в конкурсе, в том числе Заявителя, о новой дате и времени окончания срока подачи заявок на участие в</w:t>
        <w:br w:type="page"/>
        <w:t>конкурсе, дате и времени рассмотрения и оценки первых частей заявок на участие в конкурсе, дате и времени подачи участниками открытого конкурса в электронной форме окончательных предложений о цене контракта, дате и времени рассмотрения и оценки вторых частей заявок на участие в конкурсе.</w:t>
      </w:r>
    </w:p>
    <w:p>
      <w:pPr>
        <w:pStyle w:val="Style3"/>
        <w:numPr>
          <w:ilvl w:val="0"/>
          <w:numId w:val="3"/>
        </w:numPr>
        <w:tabs>
          <w:tab w:leader="none" w:pos="1030" w:val="left"/>
        </w:tabs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Заказчику, Конкурсной комиссии,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об осуществлении закупок и с учетом решения Московского УФАС России </w:t>
      </w:r>
      <w:r>
        <w:rPr>
          <w:rStyle w:val="CharStyle8"/>
        </w:rPr>
        <w:t>от 15.02.2021 по делу №077/06/106-</w:t>
      </w:r>
    </w:p>
    <w:p>
      <w:pPr>
        <w:pStyle w:val="Style11"/>
        <w:widowControl w:val="0"/>
        <w:keepNext/>
        <w:keepLines/>
        <w:shd w:val="clear" w:color="auto" w:fill="auto"/>
        <w:bidi w:val="0"/>
        <w:jc w:val="both"/>
        <w:spacing w:before="0" w:after="0" w:line="260" w:lineRule="exact"/>
        <w:ind w:left="2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2286/2021.</w:t>
      </w:r>
      <w:bookmarkEnd w:id="1"/>
    </w:p>
    <w:p>
      <w:pPr>
        <w:pStyle w:val="Style3"/>
        <w:numPr>
          <w:ilvl w:val="0"/>
          <w:numId w:val="3"/>
        </w:numPr>
        <w:tabs>
          <w:tab w:leader="none" w:pos="1030" w:val="left"/>
        </w:tabs>
        <w:widowControl w:val="0"/>
        <w:keepNext w:val="0"/>
        <w:keepLines w:val="0"/>
        <w:shd w:val="clear" w:color="auto" w:fill="auto"/>
        <w:bidi w:val="0"/>
        <w:spacing w:before="0" w:after="273" w:line="288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Заказчику, Конкурсной комиссии, оператору электронной площадки в срок до </w:t>
      </w:r>
      <w:r>
        <w:rPr>
          <w:rStyle w:val="CharStyle8"/>
        </w:rPr>
        <w:t xml:space="preserve">01.04.2021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(8(495) 607-42-92) или электронной почте по адресу: </w:t>
      </w:r>
      <w:r>
        <w:fldChar w:fldCharType="begin"/>
      </w:r>
      <w:r>
        <w:rPr>
          <w:color w:val="000000"/>
        </w:rPr>
        <w:instrText> HYPERLINK "mailto:to77@fas.gov.ru"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to77@fas.gov.ru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0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 19.5 Кодекса Российской Федерации об административных правонарушениях.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может быть обжаловано в судебном порядке в Арбитражном суде г. Москвы в течение 3 (трех) месяцев с даты его принятия в порядке, установленном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772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гл. 24 АПК РФ</w:t>
      </w:r>
    </w:p>
    <w:p>
      <w:pPr>
        <w:pStyle w:val="Style3"/>
        <w:framePr w:h="250" w:wrap="around" w:vAnchor="text" w:hAnchor="margin" w:x="8287" w:y="-4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4"/>
          <w:spacing w:val="0"/>
        </w:rPr>
        <w:t>Л.Н. Харченко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52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3"/>
        <w:framePr w:h="240" w:wrap="around" w:vAnchor="text" w:hAnchor="margin" w:x="8671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4"/>
          <w:spacing w:val="0"/>
        </w:rPr>
        <w:t>К.А. Сомов</w:t>
      </w:r>
    </w:p>
    <w:p>
      <w:pPr>
        <w:pStyle w:val="Style3"/>
        <w:framePr w:h="240" w:wrap="around" w:vAnchor="text" w:hAnchor="margin" w:x="8368" w:y="64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4"/>
          <w:spacing w:val="0"/>
        </w:rPr>
        <w:t>А.З. Касимова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47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484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 Комиссии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80" w:right="49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Исп. Сомов Кирилл Александрович (495) 784-75-05 (077-143) </w:t>
      </w:r>
      <w:r>
        <w:rPr>
          <w:rStyle w:val="CharStyle15"/>
          <w:b w:val="0"/>
          <w:bCs w:val="0"/>
        </w:rPr>
        <w:t>2021-10496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319" w:left="850" w:right="850" w:bottom="126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"/>
    </w:rPr>
  </w:style>
  <w:style w:type="character" w:customStyle="1" w:styleId="CharStyle5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7">
    <w:name w:val="Основной текст (2)_"/>
    <w:basedOn w:val="DefaultParagraphFont"/>
    <w:link w:val="Style6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Основной текст + Полужирный"/>
    <w:basedOn w:val="CharStyle5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0">
    <w:name w:val="Штрих-код (2)_"/>
    <w:basedOn w:val="DefaultParagraphFont"/>
    <w:link w:val="Style9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2">
    <w:name w:val="Заголовок №1_"/>
    <w:basedOn w:val="DefaultParagraphFont"/>
    <w:link w:val="Style11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4">
    <w:name w:val="Основной текст (3)_"/>
    <w:basedOn w:val="DefaultParagraphFont"/>
    <w:link w:val="Style13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5">
    <w:name w:val="Основной текст (3) + 11 pt,Не полужирный"/>
    <w:basedOn w:val="CharStyle14"/>
    <w:rPr>
      <w:lang w:val="ru-RU" w:eastAsia="ru-RU" w:bidi="ru-RU"/>
      <w:b/>
      <w:bCs/>
      <w:sz w:val="22"/>
      <w:szCs w:val="22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5"/>
    <w:pPr>
      <w:widowControl w:val="0"/>
      <w:shd w:val="clear" w:color="auto" w:fill="FFFFFF"/>
      <w:jc w:val="both"/>
      <w:spacing w:after="36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spacing w:before="360" w:line="322" w:lineRule="exact"/>
      <w:ind w:firstLine="400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9">
    <w:name w:val="Штрих-код (2)"/>
    <w:basedOn w:val="Normal"/>
    <w:link w:val="CharStyle10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1">
    <w:name w:val="Заголовок №1"/>
    <w:basedOn w:val="Normal"/>
    <w:link w:val="CharStyle12"/>
    <w:pPr>
      <w:widowControl w:val="0"/>
      <w:shd w:val="clear" w:color="auto" w:fill="FFFFFF"/>
      <w:outlineLvl w:val="0"/>
      <w:spacing w:before="42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3">
    <w:name w:val="Основной текст (3)"/>
    <w:basedOn w:val="Normal"/>
    <w:link w:val="CharStyle14"/>
    <w:pPr>
      <w:widowControl w:val="0"/>
      <w:shd w:val="clear" w:color="auto" w:fill="FFFFFF"/>
      <w:spacing w:before="2280" w:line="1104" w:lineRule="exact"/>
      <w:ind w:hanging="180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