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5320" w:right="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ГБУ «Жилищник района Южное Тушино»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3" w:line="326" w:lineRule="exact"/>
        <w:ind w:left="532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Свободы, д. 4, г. Москва, 125364,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tenderut@mail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.га, </w:t>
      </w:r>
      <w:r>
        <w:fldChar w:fldCharType="begin"/>
      </w:r>
      <w:r>
        <w:rPr>
          <w:color w:val="000000"/>
        </w:rPr>
        <w:instrText> HYPERLINK "mailto:dezut@yandex.ru"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dezut@yandex.ru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ГКУ «Дирекция ЖКХиБ СЗАО»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/>
        <w:ind w:left="532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Туристская, д. 16, корп. 3, г. Москва, 125459, </w:t>
      </w:r>
      <w:r>
        <w:fldChar w:fldCharType="begin"/>
      </w:r>
      <w:r>
        <w:rPr>
          <w:color w:val="000000"/>
        </w:rPr>
        <w:instrText> HYPERLINK "mailto:zakupkiszao@yandex.ru"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zakupkiszao@yandex.ru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"mailto:mostender@mos.ru"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mostender@mos.ru</w:t>
      </w:r>
      <w:r>
        <w:fldChar w:fldCharType="end"/>
      </w:r>
    </w:p>
    <w:p>
      <w:pPr>
        <w:pStyle w:val="Style5"/>
        <w:numPr>
          <w:ilvl w:val="0"/>
          <w:numId w:val="1"/>
        </w:numPr>
        <w:tabs>
          <w:tab w:leader="none" w:pos="566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«Тонстрой»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Красная Пресня, д. 24,</w:t>
      </w:r>
    </w:p>
    <w:p>
      <w:pPr>
        <w:pStyle w:val="Style5"/>
        <w:tabs>
          <w:tab w:leader="none" w:pos="5621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532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 xml:space="preserve">Москва, 123022,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tendertonstroy@mail .ru</w:t>
      </w:r>
    </w:p>
    <w:p>
      <w:pPr>
        <w:pStyle w:val="Style8"/>
        <w:tabs>
          <w:tab w:leader="none" w:pos="1245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340" w:right="2280" w:firstLine="20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№077/06/106-2583/2021 о нарушении законодательства о контрактной системе</w:t>
      </w:r>
    </w:p>
    <w:p>
      <w:pPr>
        <w:pStyle w:val="Style8"/>
        <w:numPr>
          <w:ilvl w:val="0"/>
          <w:numId w:val="3"/>
        </w:numPr>
        <w:tabs>
          <w:tab w:leader="none" w:pos="10114" w:val="right"/>
          <w:tab w:leader="none" w:pos="91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специалиста-эксперта отдела обжалования государственных закупок Н.С. Лушниковой,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ГБУ «Жилищник района Южное Ту</w:t>
      </w:r>
      <w:r>
        <w:rPr>
          <w:rStyle w:val="CharStyle10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но», ГКУ «Дирекция ЖКХиБ СЗАО», ООО «Тонстрой»,</w:t>
      </w:r>
    </w:p>
    <w:p>
      <w:pPr>
        <w:pStyle w:val="Style3"/>
        <w:framePr w:w="1349" w:h="427" w:wrap="around" w:vAnchor="text" w:hAnchor="margin" w:x="356" w:y="87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001346314378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«Тонстрой» (далее — Заявитель) на действия ГБУ «Жилищник района Южное Тушино» (далее — Заказчик) при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проведении электронного аукциона на право заключения государственного контракта на выполнение работ по ремонту территории ГБОУ №1551 (ул. Свободы</w:t>
      </w:r>
    </w:p>
    <w:p>
      <w:pPr>
        <w:pStyle w:val="Style5"/>
        <w:tabs>
          <w:tab w:leader="none" w:pos="7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д.42, корп.2) (Закупка № 0373200017320000662)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0"/>
        <w:ind w:left="44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представлены документы и сведения, запрашиваемые письмом Московского УФАС России №ЕИ/8175/21 от 12.02.2021.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Комиссией Управления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Заявителя Заказчиком неправомерно размещен протокол признания участника ООО «Тонстрой» уклонившимся от заключения контракта от 05.02.2021 №ППУ1 на основании предоставления обеспечения исполнения контракта в форме банковской гарантии, не соответствующей требованиям аукционной документации и положениям действующего законодательства.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от</w:t>
      </w:r>
    </w:p>
    <w:p>
      <w:pPr>
        <w:pStyle w:val="Style5"/>
        <w:numPr>
          <w:ilvl w:val="0"/>
          <w:numId w:val="5"/>
        </w:numPr>
        <w:tabs>
          <w:tab w:leader="none" w:pos="15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№0373200017320000662-3 </w:t>
      </w:r>
      <w:r>
        <w:rPr>
          <w:rStyle w:val="CharStyle13"/>
        </w:rPr>
        <w:t xml:space="preserve">ОоО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«Тонстрой» признано победителем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ст.83.2 Закона о контрактной системе в течение пяти дней с даты размещения в единой информационной системе указанных в части 12 статьи 54.7, части 8 статьи 69, части 8 статьи 82.4, части 23 статьи 83.1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Закона о контрактной системе, информации о товаре (товарном знаке и (или) конкретных показателях товара), информации, предусмотренной пунктом 2 части 4 статьи 54.4, пунктом 7 части 9 статьи 83.1 Закона о контрактной системе, указанных в заявке, окончательном предложении участника электронной процедуры.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ч.3 ст.83.2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частью 4 ст.83.2 Закона о контрактной системе.</w:t>
      </w:r>
    </w:p>
    <w:p>
      <w:pPr>
        <w:pStyle w:val="Style5"/>
        <w:tabs>
          <w:tab w:leader="none" w:pos="3073" w:val="left"/>
          <w:tab w:leader="none" w:pos="6061" w:val="right"/>
          <w:tab w:leader="none" w:pos="620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ч.4 ст.96 Закона о контрактной системе контракт заключается после предоставления</w:t>
        <w:tab/>
        <w:t>участником</w:t>
        <w:tab/>
        <w:t>закупки, с</w:t>
        <w:tab/>
        <w:t>которым заключается контракт,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обеспечения исполнения контракта в соответствии с Законом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ч.3 ст.96 Закона о контрактной системе исполнение контракта может обеспечиваться, в частности, предоставлением банковской гарантии, выданной банком и соответствующей требованиям ст.45 Закона о контрактной системы, при этом срок действия банковской гарантии должен превышать срок действия контракта не менее чем на один месяц.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ст.45 Закона о контрактной системе установлен перечень информации, которая должна содержать банковская гарантия.</w:t>
      </w:r>
    </w:p>
    <w:p>
      <w:pPr>
        <w:pStyle w:val="Style5"/>
        <w:tabs>
          <w:tab w:leader="none" w:pos="3073" w:val="left"/>
          <w:tab w:leader="none" w:pos="6061" w:val="right"/>
          <w:tab w:leader="none" w:pos="6202" w:val="left"/>
          <w:tab w:leader="none" w:pos="7762" w:val="left"/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</w:t>
        <w:tab/>
        <w:t>с ч.5 ст.96</w:t>
        <w:tab/>
        <w:t>Закона о</w:t>
        <w:tab/>
        <w:t>контактной</w:t>
        <w:tab/>
        <w:t>системе в</w:t>
        <w:tab/>
        <w:t>случае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непредставления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>
      <w:pPr>
        <w:pStyle w:val="Style5"/>
        <w:tabs>
          <w:tab w:leader="none" w:pos="6061" w:val="right"/>
          <w:tab w:leader="none" w:pos="6232" w:val="left"/>
          <w:tab w:leader="none" w:pos="7835" w:val="left"/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победителем аукциона направлен подписанный проект контракта и</w:t>
        <w:tab/>
        <w:t>обеспечение</w:t>
        <w:tab/>
        <w:t>исполнения</w:t>
        <w:tab/>
        <w:t>контракта</w:t>
        <w:tab/>
        <w:t>в виде</w:t>
      </w:r>
    </w:p>
    <w:p>
      <w:pPr>
        <w:pStyle w:val="Style5"/>
        <w:tabs>
          <w:tab w:leader="none" w:pos="6191" w:val="left"/>
          <w:tab w:leader="none" w:pos="8468" w:val="right"/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банковской гарантии от 29.01.2021</w:t>
        <w:tab/>
        <w:t>№</w:t>
        <w:tab/>
        <w:t>04153-21-10,</w:t>
        <w:tab/>
        <w:t>выданной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ПАО «Промсвязьбанк».</w:t>
      </w:r>
    </w:p>
    <w:p>
      <w:pPr>
        <w:pStyle w:val="Style5"/>
        <w:tabs>
          <w:tab w:leader="none" w:pos="29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ч.8.2</w:t>
        <w:tab/>
        <w:t>ст.45 Закона о контрактной системе дополнительные</w:t>
      </w:r>
    </w:p>
    <w:p>
      <w:pPr>
        <w:pStyle w:val="Style5"/>
        <w:tabs>
          <w:tab w:leader="none" w:pos="3073" w:val="left"/>
          <w:tab w:leader="none" w:pos="6191" w:val="left"/>
          <w:tab w:leader="none" w:pos="7762" w:val="left"/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банковской гарантии, используемой для целей Закона о контрактной системе, порядок ведения и размещения в единой информационной системе реестра банковских гарантий,</w:t>
        <w:tab/>
        <w:t>порядок формирования</w:t>
        <w:tab/>
        <w:t>и ведения</w:t>
        <w:tab/>
        <w:t>закрытого</w:t>
        <w:tab/>
        <w:t>реестра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банковских гарантий, в том числе включения в него информации, порядок и сроки предоставления выписок из него, форма требования об осуществлении уплаты денежной суммы по банковской гарантии устанавливаются Правительством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системе, лица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в Банковской гарантии содержатся условия, которые противоречат положениям Закона о контрактной системе, поскольку условия представленной банковской гарантии предполагают получение гарантом требования платежа по гарантии до истечения срока действия такой гарантии.</w:t>
      </w:r>
    </w:p>
    <w:p>
      <w:pPr>
        <w:pStyle w:val="Style5"/>
        <w:numPr>
          <w:ilvl w:val="0"/>
          <w:numId w:val="7"/>
        </w:numPr>
        <w:tabs>
          <w:tab w:leader="none" w:pos="137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ст.45 Закона о контрактной системе установлено, что в случае, предусмотренном извещением об осуществлении закупки, документацией о закупке, проектом контракта, заключаемого с единственным поставщиком (подрядчиком, исполнителем), в банковскую гарантию включается 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Банковской гарантии предусмотрено следующее: «Требование Бенефициара по настоящей Гарантии должно быть получено Гарантом до истечения срока действия настоящей гарантии».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согласно п.2 ст. 374 Гражданского Кодекса Российской Федерации, требование бенефициара должно быть представлено гаранту до окончания срока действия независимой гарантии.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исходя из положений п.2 ст.374 Гражданского Кодекса Российской Федерации, требование бенефициара должно быть предъявлено гаранту до окончания срока действия гарантии, что не может в ряде случаев считаться действием, совпадающим по времени совершения с моментом получения гарантом такого требования.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п.2 ст.194 Гражданского Кодекса Российской Федерации письменные заявления и извещения, сданные в организацию связи до двадцати четырех часов последнего дня срока, считаются сделанными в срок.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совокупности применения п.2 ст.194 и п.2 ст.374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Гарантом, даже если получены им за пределами срока действия гарантии.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установление в банковской гарантии положения, что требование платежа по гарантии должно быть получено Гарантом до истечения срока действия банковской гарантии, ведет к сокращению времени на подготовку Заказчиком такого требования и направления его банку-гаранту, поскольку в данном случае также необходимо учитывать сроки на получение такого требования банком.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ч.6 ст.45 Закона о контрактной системе основанием для отказа в принятии банковской гарантии заказчиком является несоответствие банковской гарантии условиям, указанным в частях 2 и 3 ст.45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Заказчика имелись основания для признания банковской гарантии не соответствующей требованиям аукционной документации, и принятие Заказчиком решения об отказе от заключения контракта по основанию, указанному в протоколе, не противоречит положениям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  <w:r>
        <w:br w:type="page"/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6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«Тонстрой» на действия ГБУ «Жилищник района Южное Ту</w:t>
      </w:r>
      <w:r>
        <w:rPr>
          <w:rStyle w:val="CharStyle10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но» необоснованной.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 путем проведения аукциона, наложенные письмом Московского УФАС России №ЕИ/8175/21 от 12.02.2021.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49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Председательствующий:</w:t>
      </w:r>
    </w:p>
    <w:p>
      <w:pPr>
        <w:pStyle w:val="Style5"/>
        <w:framePr w:w="2027" w:h="1925" w:wrap="around" w:vAnchor="text" w:hAnchor="margin" w:x="8174" w:y="-318"/>
        <w:widowControl w:val="0"/>
        <w:keepNext w:val="0"/>
        <w:keepLines w:val="0"/>
        <w:shd w:val="clear" w:color="auto" w:fill="auto"/>
        <w:bidi w:val="0"/>
        <w:jc w:val="right"/>
        <w:spacing w:before="0" w:after="0" w:line="638" w:lineRule="exact"/>
        <w:ind w:left="100" w:right="20" w:firstLine="0"/>
      </w:pPr>
      <w:r>
        <w:rPr>
          <w:rStyle w:val="CharStyle6"/>
          <w:spacing w:val="0"/>
        </w:rPr>
        <w:t>Д.А. Сологов К.А. Сомов Н.С. Лушникова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527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Сомов К.А. 8(495)784-75-05 (077-143)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0" w:left="848" w:right="834" w:bottom="13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6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18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"/>
      <w:numFmt w:val="decimal"/>
      <w:lvlText w:val="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+ 18 pt,Масштаб 75%"/>
    <w:basedOn w:val="CharStyle7"/>
    <w:rPr>
      <w:lang w:val="ru-RU" w:eastAsia="ru-RU" w:bidi="ru-RU"/>
      <w:sz w:val="36"/>
      <w:szCs w:val="36"/>
      <w:w w:val="75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spacing w:after="3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516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