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numPr>
          <w:ilvl w:val="0"/>
          <w:numId w:val="1"/>
        </w:numPr>
        <w:tabs>
          <w:tab w:leader="none" w:pos="5658" w:val="left"/>
        </w:tabs>
        <w:widowControl w:val="0"/>
        <w:keepNext w:val="0"/>
        <w:keepLines w:val="0"/>
        <w:shd w:val="clear" w:color="auto" w:fill="auto"/>
        <w:bidi w:val="0"/>
        <w:jc w:val="left"/>
        <w:spacing w:before="0" w:after="304"/>
        <w:ind w:left="5320" w:right="760" w:firstLine="0"/>
      </w:pPr>
      <w:r>
        <w:rPr>
          <w:lang w:val="ru-RU" w:eastAsia="ru-RU" w:bidi="ru-RU"/>
          <w:w w:val="100"/>
          <w:spacing w:val="0"/>
          <w:color w:val="000000"/>
          <w:position w:val="0"/>
        </w:rPr>
        <w:t>ГБУЗ «ГКБ им. М.Е. Жадкевича ДЗМ»</w:t>
      </w:r>
    </w:p>
    <w:p>
      <w:pPr>
        <w:pStyle w:val="Style5"/>
        <w:widowControl w:val="0"/>
        <w:keepNext w:val="0"/>
        <w:keepLines w:val="0"/>
        <w:shd w:val="clear" w:color="auto" w:fill="auto"/>
        <w:bidi w:val="0"/>
        <w:jc w:val="left"/>
        <w:spacing w:before="0" w:after="300" w:line="322" w:lineRule="exact"/>
        <w:ind w:left="5320" w:right="500" w:firstLine="0"/>
      </w:pPr>
      <w:r>
        <w:rPr>
          <w:lang w:val="ru-RU" w:eastAsia="ru-RU" w:bidi="ru-RU"/>
          <w:w w:val="100"/>
          <w:spacing w:val="0"/>
          <w:color w:val="000000"/>
          <w:position w:val="0"/>
        </w:rPr>
        <w:t xml:space="preserve">Можайское шоссе, д. 14, г. Москва, 121374, </w:t>
      </w:r>
      <w:r>
        <w:fldChar w:fldCharType="begin"/>
      </w:r>
      <w:r>
        <w:rPr>
          <w:color w:val="000000"/>
        </w:rPr>
        <w:instrText> HYPERLINK "mailto:tender-71@yandex.ru" </w:instrText>
      </w:r>
      <w:r>
        <w:fldChar w:fldCharType="separate"/>
      </w:r>
      <w:r>
        <w:rPr>
          <w:rStyle w:val="Hyperlink"/>
          <w:lang w:val="en-US" w:eastAsia="en-US" w:bidi="en-US"/>
          <w:w w:val="100"/>
          <w:spacing w:val="0"/>
          <w:position w:val="0"/>
        </w:rPr>
        <w:t>tender-71@yandex.ru</w:t>
      </w:r>
      <w:r>
        <w:fldChar w:fldCharType="end"/>
      </w:r>
      <w:r>
        <w:rPr>
          <w:lang w:val="en-US" w:eastAsia="en-US" w:bidi="en-US"/>
          <w:w w:val="100"/>
          <w:spacing w:val="0"/>
          <w:color w:val="000000"/>
          <w:position w:val="0"/>
        </w:rPr>
        <w:t xml:space="preserve">, </w:t>
      </w:r>
      <w:r>
        <w:fldChar w:fldCharType="begin"/>
      </w:r>
      <w:r>
        <w:rPr>
          <w:color w:val="000000"/>
        </w:rPr>
        <w:instrText> HYPERLINK "mailto:AntipovaYO@mos.ru" </w:instrText>
      </w:r>
      <w:r>
        <w:fldChar w:fldCharType="separate"/>
      </w:r>
      <w:r>
        <w:rPr>
          <w:rStyle w:val="Hyperlink"/>
          <w:lang w:val="en-US" w:eastAsia="en-US" w:bidi="en-US"/>
          <w:w w:val="100"/>
          <w:spacing w:val="0"/>
          <w:position w:val="0"/>
        </w:rPr>
        <w:t>AntipovaYO@mos.ru</w:t>
      </w:r>
      <w:r>
        <w:fldChar w:fldCharType="end"/>
      </w:r>
    </w:p>
    <w:p>
      <w:pPr>
        <w:pStyle w:val="Style5"/>
        <w:numPr>
          <w:ilvl w:val="0"/>
          <w:numId w:val="1"/>
        </w:numPr>
        <w:widowControl w:val="0"/>
        <w:keepNext w:val="0"/>
        <w:keepLines w:val="0"/>
        <w:shd w:val="clear" w:color="auto" w:fill="auto"/>
        <w:bidi w:val="0"/>
        <w:jc w:val="left"/>
        <w:spacing w:before="0" w:after="304" w:line="322" w:lineRule="exact"/>
        <w:ind w:left="5320" w:right="500" w:firstLine="0"/>
      </w:pPr>
      <w:r>
        <w:rPr>
          <w:lang w:val="ru-RU" w:eastAsia="ru-RU" w:bidi="ru-RU"/>
          <w:w w:val="100"/>
          <w:spacing w:val="0"/>
          <w:color w:val="000000"/>
          <w:position w:val="0"/>
        </w:rPr>
        <w:t xml:space="preserve"> Департамент г. Москвы по Конкурентной политике</w:t>
      </w:r>
    </w:p>
    <w:p>
      <w:pPr>
        <w:pStyle w:val="Style5"/>
        <w:widowControl w:val="0"/>
        <w:keepNext w:val="0"/>
        <w:keepLines w:val="0"/>
        <w:shd w:val="clear" w:color="auto" w:fill="auto"/>
        <w:bidi w:val="0"/>
        <w:jc w:val="left"/>
        <w:spacing w:before="0" w:after="346" w:line="317" w:lineRule="exact"/>
        <w:ind w:left="5320" w:right="500" w:firstLine="0"/>
      </w:pPr>
      <w:r>
        <w:rPr>
          <w:lang w:val="ru-RU" w:eastAsia="ru-RU" w:bidi="ru-RU"/>
          <w:w w:val="100"/>
          <w:spacing w:val="0"/>
          <w:color w:val="000000"/>
          <w:position w:val="0"/>
        </w:rPr>
        <w:t xml:space="preserve">ул. Макаренко, д. 4, стр. 1, г. Москва, 105062, </w:t>
      </w:r>
      <w:r>
        <w:fldChar w:fldCharType="begin"/>
      </w:r>
      <w:r>
        <w:rPr>
          <w:color w:val="000000"/>
        </w:rPr>
        <w:instrText> HYPERLINK "mailto:mostender@mos.ru" </w:instrText>
      </w:r>
      <w:r>
        <w:fldChar w:fldCharType="separate"/>
      </w:r>
      <w:r>
        <w:rPr>
          <w:rStyle w:val="Hyperlink"/>
          <w:lang w:val="en-US" w:eastAsia="en-US" w:bidi="en-US"/>
          <w:w w:val="100"/>
          <w:spacing w:val="0"/>
          <w:position w:val="0"/>
        </w:rPr>
        <w:t>mostender@mos.ru</w:t>
      </w:r>
      <w:r>
        <w:fldChar w:fldCharType="end"/>
      </w:r>
    </w:p>
    <w:p>
      <w:pPr>
        <w:pStyle w:val="Style5"/>
        <w:numPr>
          <w:ilvl w:val="0"/>
          <w:numId w:val="1"/>
        </w:numPr>
        <w:widowControl w:val="0"/>
        <w:keepNext w:val="0"/>
        <w:keepLines w:val="0"/>
        <w:shd w:val="clear" w:color="auto" w:fill="auto"/>
        <w:bidi w:val="0"/>
        <w:jc w:val="left"/>
        <w:spacing w:before="0" w:after="312" w:line="260" w:lineRule="exact"/>
        <w:ind w:left="5320" w:right="0" w:firstLine="0"/>
      </w:pPr>
      <w:r>
        <w:rPr>
          <w:lang w:val="ru-RU" w:eastAsia="ru-RU" w:bidi="ru-RU"/>
          <w:w w:val="100"/>
          <w:spacing w:val="0"/>
          <w:color w:val="000000"/>
          <w:position w:val="0"/>
        </w:rPr>
        <w:t xml:space="preserve"> ООО «Экспресс-Продукт»</w:t>
      </w:r>
    </w:p>
    <w:p>
      <w:pPr>
        <w:pStyle w:val="Style5"/>
        <w:widowControl w:val="0"/>
        <w:keepNext w:val="0"/>
        <w:keepLines w:val="0"/>
        <w:shd w:val="clear" w:color="auto" w:fill="auto"/>
        <w:bidi w:val="0"/>
        <w:jc w:val="left"/>
        <w:spacing w:before="0" w:after="296" w:line="317" w:lineRule="exact"/>
        <w:ind w:left="5320" w:right="500" w:firstLine="0"/>
      </w:pPr>
      <w:r>
        <w:rPr>
          <w:lang w:val="ru-RU" w:eastAsia="ru-RU" w:bidi="ru-RU"/>
          <w:w w:val="100"/>
          <w:spacing w:val="0"/>
          <w:color w:val="000000"/>
          <w:position w:val="0"/>
        </w:rPr>
        <w:t xml:space="preserve">ул. Буйнакского, д. 9, г. Махачкала, 367000, </w:t>
      </w:r>
      <w:r>
        <w:fldChar w:fldCharType="begin"/>
      </w:r>
      <w:r>
        <w:rPr>
          <w:color w:val="000000"/>
        </w:rPr>
        <w:instrText> HYPERLINK "mailto:ekspress.produkt@mail.ru" </w:instrText>
      </w:r>
      <w:r>
        <w:fldChar w:fldCharType="separate"/>
      </w:r>
      <w:r>
        <w:rPr>
          <w:rStyle w:val="Hyperlink"/>
          <w:lang w:val="en-US" w:eastAsia="en-US" w:bidi="en-US"/>
          <w:w w:val="100"/>
          <w:spacing w:val="0"/>
          <w:position w:val="0"/>
        </w:rPr>
        <w:t>ekspress.produkt@mail.ru</w:t>
      </w:r>
      <w:r>
        <w:fldChar w:fldCharType="end"/>
      </w:r>
    </w:p>
    <w:p>
      <w:pPr>
        <w:pStyle w:val="Style7"/>
        <w:tabs>
          <w:tab w:leader="none" w:pos="8953" w:val="lef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РЕШЕНИЕ по делу №077/06/106-2473/2021 о нарушении законодательства об осуществлении закупок 16.02.2021</w:t>
        <w:tab/>
        <w:t>г. Москва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Председательствующего: Заместителя председателя Комиссии — главного государственного инспектора отдела обжалования государственных закупок Д.А. Сологова,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Члена Комиссии - специалиста-эксперта отдела обжалования государственных закупок Н.С. Лушниковой,</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ГБУЗ «ГКБ им. М.Е. Жадкевича ДЗМ»: Л.В. Булгаковой,</w:t>
      </w:r>
    </w:p>
    <w:p>
      <w:pPr>
        <w:pStyle w:val="Style3"/>
        <w:framePr w:w="1349" w:h="427" w:wrap="around" w:vAnchor="text" w:hAnchor="margin" w:x="351" w:y="1191"/>
        <w:widowControl w:val="0"/>
        <w:keepNext w:val="0"/>
        <w:keepLines w:val="0"/>
        <w:shd w:val="clear" w:color="auto" w:fill="auto"/>
        <w:bidi w:val="0"/>
        <w:jc w:val="left"/>
        <w:spacing w:before="0" w:after="0" w:line="240" w:lineRule="auto"/>
        <w:ind w:left="0" w:right="0" w:firstLine="0"/>
      </w:pPr>
      <w:r>
        <w:rPr>
          <w:w w:val="100"/>
          <w:spacing w:val="0"/>
          <w:color w:val="000000"/>
          <w:position w:val="0"/>
        </w:rPr>
        <w:t>001888185119</w:t>
      </w:r>
    </w:p>
    <w:p>
      <w:pPr>
        <w:pStyle w:val="Style5"/>
        <w:widowControl w:val="0"/>
        <w:keepNext w:val="0"/>
        <w:keepLines w:val="0"/>
        <w:shd w:val="clear" w:color="auto" w:fill="auto"/>
        <w:bidi w:val="0"/>
        <w:jc w:val="left"/>
        <w:spacing w:before="0" w:after="0" w:line="322" w:lineRule="exact"/>
        <w:ind w:left="20" w:right="20" w:firstLine="560"/>
      </w:pPr>
      <w:r>
        <w:rPr>
          <w:lang w:val="ru-RU" w:eastAsia="ru-RU" w:bidi="ru-RU"/>
          <w:w w:val="100"/>
          <w:spacing w:val="0"/>
          <w:color w:val="000000"/>
          <w:position w:val="0"/>
        </w:rPr>
        <w:t>Департамент г. Москвы по Конкурентной политике: Е.В. Богдановой, в отсутствие представителей ООО «Экспресс-Продукт», о времени и порядке заседания Комиссии уведомленных письмом Московского УФАС России</w:t>
      </w:r>
      <w:r>
        <w:br w:type="page"/>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№ЕИ/7758/21 от 11.02.2021,</w:t>
      </w:r>
    </w:p>
    <w:p>
      <w:pPr>
        <w:pStyle w:val="Style5"/>
        <w:widowControl w:val="0"/>
        <w:keepNext w:val="0"/>
        <w:keepLines w:val="0"/>
        <w:shd w:val="clear" w:color="auto" w:fill="auto"/>
        <w:bidi w:val="0"/>
        <w:jc w:val="both"/>
        <w:spacing w:before="0" w:after="300" w:line="322" w:lineRule="exact"/>
        <w:ind w:left="20" w:right="20" w:firstLine="540"/>
      </w:pPr>
      <w:r>
        <w:rPr>
          <w:lang w:val="ru-RU" w:eastAsia="ru-RU" w:bidi="ru-RU"/>
          <w:w w:val="100"/>
          <w:spacing w:val="0"/>
          <w:color w:val="000000"/>
          <w:position w:val="0"/>
        </w:rPr>
        <w:t>рассмотрев жалобу ООО «Экспресс-Продукт» (далее - Заявитель) на действия ГБУЗ «ГКБ им. М.Е. Жадкевича ДЗМ» (далее-Заказчик) при проведении конкурса с ограниченным участием в электронной форме на право заключения государственного контракта на оказание услуг по организации питания для ГБУЗ «ГКБ имени М.Е. Жадкевича ДЗМ» (Закупка № 0173200001420001932)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w:t>
      </w:r>
    </w:p>
    <w:p>
      <w:pPr>
        <w:pStyle w:val="Style9"/>
        <w:widowControl w:val="0"/>
        <w:keepNext/>
        <w:keepLines/>
        <w:shd w:val="clear" w:color="auto" w:fill="auto"/>
        <w:bidi w:val="0"/>
        <w:spacing w:before="0" w:after="0"/>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конкурса.</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Заказчиком предоставлены документы и сведения, запрашиваемые письмом Московского УФАС России №ЕИ/7758/21 от 11.02.2021.</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Заявитель обжалует действия конкурсной комиссии Заказчика в отношении применения порядка оценки, установленного в конкурсной документации по показателю «Функциональные, потребительские свойства товара» нестоимостного критерия оценки заявок «Качественные, функциональные и экологические характеристики объекта закупки».</w:t>
      </w:r>
    </w:p>
    <w:p>
      <w:pPr>
        <w:pStyle w:val="Style5"/>
        <w:tabs>
          <w:tab w:leader="none" w:pos="2586" w:val="left"/>
          <w:tab w:leader="none" w:pos="3224" w:val="left"/>
        </w:tabs>
        <w:widowControl w:val="0"/>
        <w:keepNext w:val="0"/>
        <w:keepLines w:val="0"/>
        <w:shd w:val="clear" w:color="auto" w:fill="auto"/>
        <w:bidi w:val="0"/>
        <w:jc w:val="both"/>
        <w:spacing w:before="0" w:after="0" w:line="322" w:lineRule="exact"/>
        <w:ind w:left="20" w:right="0" w:firstLine="540"/>
      </w:pPr>
      <w:r>
        <w:rPr>
          <w:lang w:val="ru-RU" w:eastAsia="ru-RU" w:bidi="ru-RU"/>
          <w:w w:val="100"/>
          <w:spacing w:val="0"/>
          <w:color w:val="000000"/>
          <w:position w:val="0"/>
        </w:rPr>
        <w:t>Согласно п.8</w:t>
        <w:tab/>
        <w:t>ч.1</w:t>
        <w:tab/>
        <w:t>ст.54.3 Закона о контрактной системе конкурсная</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В соответствии с п.11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 1085 (далее - Правила), по каждому критерию оценки используется 100-балльная шкала оценки. Если в соответствии с п.10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 Сумма величин значимости показателей критерия оценки должна составлять 100 процентов.</w:t>
      </w:r>
    </w:p>
    <w:p>
      <w:pPr>
        <w:pStyle w:val="Style5"/>
        <w:widowControl w:val="0"/>
        <w:keepNext w:val="0"/>
        <w:keepLines w:val="0"/>
        <w:shd w:val="clear" w:color="auto" w:fill="auto"/>
        <w:bidi w:val="0"/>
        <w:jc w:val="both"/>
        <w:spacing w:before="0" w:after="0" w:line="322" w:lineRule="exact"/>
        <w:ind w:left="20" w:right="40" w:firstLine="520"/>
      </w:pPr>
      <w:r>
        <w:rPr>
          <w:lang w:val="ru-RU" w:eastAsia="ru-RU" w:bidi="ru-RU"/>
          <w:w w:val="100"/>
          <w:spacing w:val="0"/>
          <w:color w:val="000000"/>
          <w:position w:val="0"/>
        </w:rPr>
        <w:t>На основании изложенного, при наличии в документации о закупке показателей нестоимостного критерия, порядок оценки должен содержать:</w:t>
      </w:r>
    </w:p>
    <w:p>
      <w:pPr>
        <w:pStyle w:val="Style5"/>
        <w:numPr>
          <w:ilvl w:val="0"/>
          <w:numId w:val="3"/>
        </w:numPr>
        <w:widowControl w:val="0"/>
        <w:keepNext w:val="0"/>
        <w:keepLines w:val="0"/>
        <w:shd w:val="clear" w:color="auto" w:fill="auto"/>
        <w:bidi w:val="0"/>
        <w:jc w:val="both"/>
        <w:spacing w:before="0" w:after="0" w:line="322" w:lineRule="exact"/>
        <w:ind w:left="20" w:right="40" w:firstLine="520"/>
      </w:pPr>
      <w:r>
        <w:rPr>
          <w:lang w:val="ru-RU" w:eastAsia="ru-RU" w:bidi="ru-RU"/>
          <w:w w:val="100"/>
          <w:spacing w:val="0"/>
          <w:color w:val="000000"/>
          <w:position w:val="0"/>
        </w:rPr>
        <w:t xml:space="preserve"> значимость в отношении каждого показателя, которая в соответствии с п.3 Правил является выраженным в процентах весом показателя;</w:t>
      </w:r>
    </w:p>
    <w:p>
      <w:pPr>
        <w:pStyle w:val="Style5"/>
        <w:numPr>
          <w:ilvl w:val="0"/>
          <w:numId w:val="3"/>
        </w:numPr>
        <w:widowControl w:val="0"/>
        <w:keepNext w:val="0"/>
        <w:keepLines w:val="0"/>
        <w:shd w:val="clear" w:color="auto" w:fill="auto"/>
        <w:bidi w:val="0"/>
        <w:jc w:val="both"/>
        <w:spacing w:before="0" w:after="0" w:line="322" w:lineRule="exact"/>
        <w:ind w:left="20" w:right="40" w:firstLine="520"/>
      </w:pPr>
      <w:r>
        <w:rPr>
          <w:lang w:val="ru-RU" w:eastAsia="ru-RU" w:bidi="ru-RU"/>
          <w:w w:val="100"/>
          <w:spacing w:val="0"/>
          <w:color w:val="000000"/>
          <w:position w:val="0"/>
        </w:rPr>
        <w:t xml:space="preserve"> сумму величин значимости показателей критерия оценки в размере 100 процентов;</w:t>
      </w:r>
    </w:p>
    <w:p>
      <w:pPr>
        <w:pStyle w:val="Style5"/>
        <w:numPr>
          <w:ilvl w:val="0"/>
          <w:numId w:val="3"/>
        </w:numPr>
        <w:widowControl w:val="0"/>
        <w:keepNext w:val="0"/>
        <w:keepLines w:val="0"/>
        <w:shd w:val="clear" w:color="auto" w:fill="auto"/>
        <w:bidi w:val="0"/>
        <w:jc w:val="both"/>
        <w:spacing w:before="0" w:after="0" w:line="322" w:lineRule="exact"/>
        <w:ind w:left="20" w:right="40" w:firstLine="520"/>
      </w:pPr>
      <w:r>
        <w:rPr>
          <w:lang w:val="ru-RU" w:eastAsia="ru-RU" w:bidi="ru-RU"/>
          <w:w w:val="100"/>
          <w:spacing w:val="0"/>
          <w:color w:val="000000"/>
          <w:position w:val="0"/>
        </w:rPr>
        <w:t xml:space="preserve"> формулу расчета или шкалу количества баллов, предусматривающую присвоение по каждому показателю от 0 до 100 баллов (для дальнейшего умножения на коэффициент значимости показателя).</w:t>
      </w:r>
    </w:p>
    <w:p>
      <w:pPr>
        <w:pStyle w:val="Style5"/>
        <w:widowControl w:val="0"/>
        <w:keepNext w:val="0"/>
        <w:keepLines w:val="0"/>
        <w:shd w:val="clear" w:color="auto" w:fill="auto"/>
        <w:bidi w:val="0"/>
        <w:jc w:val="both"/>
        <w:spacing w:before="0" w:after="0" w:line="322" w:lineRule="exact"/>
        <w:ind w:left="20" w:right="40" w:firstLine="520"/>
      </w:pPr>
      <w:r>
        <w:rPr>
          <w:lang w:val="ru-RU" w:eastAsia="ru-RU" w:bidi="ru-RU"/>
          <w:w w:val="100"/>
          <w:spacing w:val="0"/>
          <w:color w:val="000000"/>
          <w:position w:val="0"/>
        </w:rPr>
        <w:t>Соблюдение вышеуказанных положений в совокупности позволит обеспечить применение предусмотренной п.11 Правил 100-балльной шкалы по критерию (обеспечивается возможность присвоить лучшему предложению по критерию оценку в 100 баллов).</w:t>
      </w:r>
    </w:p>
    <w:p>
      <w:pPr>
        <w:pStyle w:val="Style5"/>
        <w:widowControl w:val="0"/>
        <w:keepNext w:val="0"/>
        <w:keepLines w:val="0"/>
        <w:shd w:val="clear" w:color="auto" w:fill="auto"/>
        <w:bidi w:val="0"/>
        <w:jc w:val="both"/>
        <w:spacing w:before="0" w:after="0" w:line="322" w:lineRule="exact"/>
        <w:ind w:left="20" w:right="40" w:firstLine="520"/>
      </w:pPr>
      <w:r>
        <w:rPr>
          <w:lang w:val="ru-RU" w:eastAsia="ru-RU" w:bidi="ru-RU"/>
          <w:w w:val="100"/>
          <w:spacing w:val="0"/>
          <w:color w:val="000000"/>
          <w:position w:val="0"/>
        </w:rPr>
        <w:t>В силу ч.5 ст.54.5 Закона о контрактной системе конкурсная комиссия осуществляет оценку первых частей заявок на участие в открытом конкурсе в электронной форме участников закупки, допущенных к участию в таком конкурсе, по критерию, установленному п.3 ч.1 ст.32 Закона о контрактной системе (при установлении этого критерия в конкурсной документации). Оценка заявок на участие в открытом конкурсе в электронной форме не осуществляется в случае признания конкурса не состоявшимся в соответствии с ч.8 ст.54.5 Закона о контрактной системе.</w:t>
      </w:r>
    </w:p>
    <w:p>
      <w:pPr>
        <w:pStyle w:val="Style5"/>
        <w:widowControl w:val="0"/>
        <w:keepNext w:val="0"/>
        <w:keepLines w:val="0"/>
        <w:shd w:val="clear" w:color="auto" w:fill="auto"/>
        <w:bidi w:val="0"/>
        <w:jc w:val="both"/>
        <w:spacing w:before="0" w:after="0" w:line="322" w:lineRule="exact"/>
        <w:ind w:left="20" w:right="40" w:firstLine="520"/>
      </w:pPr>
      <w:r>
        <w:rPr>
          <w:lang w:val="ru-RU" w:eastAsia="ru-RU" w:bidi="ru-RU"/>
          <w:w w:val="100"/>
          <w:spacing w:val="0"/>
          <w:color w:val="000000"/>
          <w:position w:val="0"/>
        </w:rPr>
        <w:t>Комиссией Управления установлено, что в отношении показателя «Функциональные, потребительские свойства товара» нестоимостного критерия оценки заявок «Качественные, функциональные и экологические характеристики объекта закупки» установлен следующий порядок оценки:</w:t>
      </w:r>
    </w:p>
    <w:p>
      <w:pPr>
        <w:pStyle w:val="Style5"/>
        <w:widowControl w:val="0"/>
        <w:keepNext w:val="0"/>
        <w:keepLines w:val="0"/>
        <w:shd w:val="clear" w:color="auto" w:fill="auto"/>
        <w:bidi w:val="0"/>
        <w:jc w:val="both"/>
        <w:spacing w:before="0" w:after="0" w:line="322" w:lineRule="exact"/>
        <w:ind w:left="20" w:right="0" w:firstLine="520"/>
      </w:pPr>
      <w:r>
        <w:rPr>
          <w:lang w:val="ru-RU" w:eastAsia="ru-RU" w:bidi="ru-RU"/>
          <w:w w:val="100"/>
          <w:spacing w:val="0"/>
          <w:color w:val="000000"/>
          <w:position w:val="0"/>
        </w:rPr>
        <w:t>«Коэффициент значимости (КЗ) =1</w:t>
      </w:r>
    </w:p>
    <w:p>
      <w:pPr>
        <w:pStyle w:val="Style5"/>
        <w:widowControl w:val="0"/>
        <w:keepNext w:val="0"/>
        <w:keepLines w:val="0"/>
        <w:shd w:val="clear" w:color="auto" w:fill="auto"/>
        <w:bidi w:val="0"/>
        <w:jc w:val="both"/>
        <w:spacing w:before="0" w:after="0" w:line="322" w:lineRule="exact"/>
        <w:ind w:left="20" w:right="0" w:firstLine="520"/>
      </w:pPr>
      <w:r>
        <w:rPr>
          <w:lang w:val="ru-RU" w:eastAsia="ru-RU" w:bidi="ru-RU"/>
          <w:w w:val="100"/>
          <w:spacing w:val="0"/>
          <w:color w:val="000000"/>
          <w:position w:val="0"/>
        </w:rPr>
        <w:t>Максимальная оценка по показателю -100.0 баллов.</w:t>
      </w:r>
    </w:p>
    <w:p>
      <w:pPr>
        <w:pStyle w:val="Style5"/>
        <w:widowControl w:val="0"/>
        <w:keepNext w:val="0"/>
        <w:keepLines w:val="0"/>
        <w:shd w:val="clear" w:color="auto" w:fill="auto"/>
        <w:bidi w:val="0"/>
        <w:jc w:val="both"/>
        <w:spacing w:before="0" w:after="0" w:line="322" w:lineRule="exact"/>
        <w:ind w:left="20" w:right="0" w:firstLine="520"/>
      </w:pPr>
      <w:r>
        <w:rPr>
          <w:lang w:val="ru-RU" w:eastAsia="ru-RU" w:bidi="ru-RU"/>
          <w:w w:val="100"/>
          <w:spacing w:val="0"/>
          <w:color w:val="000000"/>
          <w:position w:val="0"/>
        </w:rPr>
        <w:t>Содержание:</w:t>
      </w:r>
    </w:p>
    <w:p>
      <w:pPr>
        <w:pStyle w:val="Style5"/>
        <w:widowControl w:val="0"/>
        <w:keepNext w:val="0"/>
        <w:keepLines w:val="0"/>
        <w:shd w:val="clear" w:color="auto" w:fill="auto"/>
        <w:bidi w:val="0"/>
        <w:jc w:val="both"/>
        <w:spacing w:before="0" w:after="0" w:line="322" w:lineRule="exact"/>
        <w:ind w:left="20" w:right="40" w:firstLine="520"/>
      </w:pPr>
      <w:r>
        <w:rPr>
          <w:lang w:val="ru-RU" w:eastAsia="ru-RU" w:bidi="ru-RU"/>
          <w:w w:val="100"/>
          <w:spacing w:val="0"/>
          <w:color w:val="000000"/>
          <w:position w:val="0"/>
        </w:rPr>
        <w:t>В рамках показателя оценивается сорт, класс, категория поставляемых продуктов более высоких по отношению к требованию Технического задания (в соответствии с Приложением 1 к порядку оценки заявок):</w:t>
      </w:r>
    </w:p>
    <w:p>
      <w:pPr>
        <w:pStyle w:val="Style5"/>
        <w:numPr>
          <w:ilvl w:val="0"/>
          <w:numId w:val="5"/>
        </w:numPr>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 xml:space="preserve"> предоставление улучшенных по сравнению с требованиями Технического задания характеристик для менее 5% от общего количества наименований пищевых продуктов, а также несоответствие сведений по функциональным, потребительским свойствам товара заявленным улучшенным характеристикам - 0 баллов </w:t>
      </w:r>
      <w:r>
        <w:rPr>
          <w:lang w:val="en-US" w:eastAsia="en-US" w:bidi="en-US"/>
          <w:w w:val="100"/>
          <w:spacing w:val="0"/>
          <w:color w:val="000000"/>
          <w:position w:val="0"/>
        </w:rPr>
        <w:t>(Ki);</w:t>
      </w:r>
    </w:p>
    <w:p>
      <w:pPr>
        <w:pStyle w:val="Style5"/>
        <w:numPr>
          <w:ilvl w:val="0"/>
          <w:numId w:val="5"/>
        </w:numPr>
        <w:widowControl w:val="0"/>
        <w:keepNext w:val="0"/>
        <w:keepLines w:val="0"/>
        <w:shd w:val="clear" w:color="auto" w:fill="auto"/>
        <w:bidi w:val="0"/>
        <w:jc w:val="both"/>
        <w:spacing w:before="0" w:after="0" w:line="322" w:lineRule="exact"/>
        <w:ind w:left="20" w:right="20" w:firstLine="520"/>
      </w:pPr>
      <w:r>
        <w:rPr>
          <w:lang w:val="en-US" w:eastAsia="en-US" w:bidi="en-US"/>
          <w:w w:val="100"/>
          <w:spacing w:val="0"/>
          <w:color w:val="000000"/>
          <w:position w:val="0"/>
        </w:rPr>
        <w:t xml:space="preserve"> </w:t>
      </w:r>
      <w:r>
        <w:rPr>
          <w:lang w:val="ru-RU" w:eastAsia="ru-RU" w:bidi="ru-RU"/>
          <w:w w:val="100"/>
          <w:spacing w:val="0"/>
          <w:color w:val="000000"/>
          <w:position w:val="0"/>
        </w:rPr>
        <w:t xml:space="preserve">предоставление улучшенных по сравнению с требованиями Технического задания характеристик для 5-10% (не включая 10%) от общего количества наименований пищевых продуктов - 10 </w:t>
      </w:r>
      <w:r>
        <w:rPr>
          <w:lang w:val="en-US" w:eastAsia="en-US" w:bidi="en-US"/>
          <w:w w:val="100"/>
          <w:spacing w:val="0"/>
          <w:color w:val="000000"/>
          <w:position w:val="0"/>
        </w:rPr>
        <w:t>(Ki);</w:t>
      </w:r>
    </w:p>
    <w:p>
      <w:pPr>
        <w:pStyle w:val="Style5"/>
        <w:numPr>
          <w:ilvl w:val="0"/>
          <w:numId w:val="5"/>
        </w:numPr>
        <w:widowControl w:val="0"/>
        <w:keepNext w:val="0"/>
        <w:keepLines w:val="0"/>
        <w:shd w:val="clear" w:color="auto" w:fill="auto"/>
        <w:bidi w:val="0"/>
        <w:jc w:val="both"/>
        <w:spacing w:before="0" w:after="0" w:line="322" w:lineRule="exact"/>
        <w:ind w:left="20" w:right="20" w:firstLine="520"/>
      </w:pPr>
      <w:r>
        <w:rPr>
          <w:lang w:val="en-US" w:eastAsia="en-US" w:bidi="en-US"/>
          <w:w w:val="100"/>
          <w:spacing w:val="0"/>
          <w:color w:val="000000"/>
          <w:position w:val="0"/>
        </w:rPr>
        <w:t xml:space="preserve"> </w:t>
      </w:r>
      <w:r>
        <w:rPr>
          <w:lang w:val="ru-RU" w:eastAsia="ru-RU" w:bidi="ru-RU"/>
          <w:w w:val="100"/>
          <w:spacing w:val="0"/>
          <w:color w:val="000000"/>
          <w:position w:val="0"/>
        </w:rPr>
        <w:t xml:space="preserve">предоставление улучшенных по сравнению с требованиями Технического задания характеристик для 10-20% (не включая 20%) от общего количества наименований пищевых продуктов - 20 </w:t>
      </w:r>
      <w:r>
        <w:rPr>
          <w:lang w:val="en-US" w:eastAsia="en-US" w:bidi="en-US"/>
          <w:w w:val="100"/>
          <w:spacing w:val="0"/>
          <w:color w:val="000000"/>
          <w:position w:val="0"/>
        </w:rPr>
        <w:t>(Ki);</w:t>
      </w:r>
    </w:p>
    <w:p>
      <w:pPr>
        <w:pStyle w:val="Style5"/>
        <w:numPr>
          <w:ilvl w:val="0"/>
          <w:numId w:val="5"/>
        </w:numPr>
        <w:widowControl w:val="0"/>
        <w:keepNext w:val="0"/>
        <w:keepLines w:val="0"/>
        <w:shd w:val="clear" w:color="auto" w:fill="auto"/>
        <w:bidi w:val="0"/>
        <w:jc w:val="both"/>
        <w:spacing w:before="0" w:after="0" w:line="322" w:lineRule="exact"/>
        <w:ind w:left="20" w:right="20" w:firstLine="520"/>
      </w:pPr>
      <w:r>
        <w:rPr>
          <w:lang w:val="en-US" w:eastAsia="en-US" w:bidi="en-US"/>
          <w:w w:val="100"/>
          <w:spacing w:val="0"/>
          <w:color w:val="000000"/>
          <w:position w:val="0"/>
        </w:rPr>
        <w:t xml:space="preserve"> </w:t>
      </w:r>
      <w:r>
        <w:rPr>
          <w:lang w:val="ru-RU" w:eastAsia="ru-RU" w:bidi="ru-RU"/>
          <w:w w:val="100"/>
          <w:spacing w:val="0"/>
          <w:color w:val="000000"/>
          <w:position w:val="0"/>
        </w:rPr>
        <w:t xml:space="preserve">предоставление улучшенных по сравнению с требованиями Технического задания характеристик для 20-30% (не включая 30%) от общего количества наименований пищевых продуктов - 30 </w:t>
      </w:r>
      <w:r>
        <w:rPr>
          <w:lang w:val="en-US" w:eastAsia="en-US" w:bidi="en-US"/>
          <w:w w:val="100"/>
          <w:spacing w:val="0"/>
          <w:color w:val="000000"/>
          <w:position w:val="0"/>
        </w:rPr>
        <w:t>(Ki);</w:t>
      </w:r>
    </w:p>
    <w:p>
      <w:pPr>
        <w:pStyle w:val="Style5"/>
        <w:numPr>
          <w:ilvl w:val="0"/>
          <w:numId w:val="5"/>
        </w:numPr>
        <w:widowControl w:val="0"/>
        <w:keepNext w:val="0"/>
        <w:keepLines w:val="0"/>
        <w:shd w:val="clear" w:color="auto" w:fill="auto"/>
        <w:bidi w:val="0"/>
        <w:jc w:val="both"/>
        <w:spacing w:before="0" w:after="0" w:line="322" w:lineRule="exact"/>
        <w:ind w:left="20" w:right="20" w:firstLine="520"/>
      </w:pPr>
      <w:r>
        <w:rPr>
          <w:lang w:val="en-US" w:eastAsia="en-US" w:bidi="en-US"/>
          <w:w w:val="100"/>
          <w:spacing w:val="0"/>
          <w:color w:val="000000"/>
          <w:position w:val="0"/>
        </w:rPr>
        <w:t xml:space="preserve"> </w:t>
      </w:r>
      <w:r>
        <w:rPr>
          <w:lang w:val="ru-RU" w:eastAsia="ru-RU" w:bidi="ru-RU"/>
          <w:w w:val="100"/>
          <w:spacing w:val="0"/>
          <w:color w:val="000000"/>
          <w:position w:val="0"/>
        </w:rPr>
        <w:t xml:space="preserve">предоставление улучшенных по сравнению с требованиями Технического задания характеристик для 30-40% (не включая 40%) от общего количества наименований пищевых продуктов - 40 </w:t>
      </w:r>
      <w:r>
        <w:rPr>
          <w:lang w:val="en-US" w:eastAsia="en-US" w:bidi="en-US"/>
          <w:w w:val="100"/>
          <w:spacing w:val="0"/>
          <w:color w:val="000000"/>
          <w:position w:val="0"/>
        </w:rPr>
        <w:t>(Ki);</w:t>
      </w:r>
    </w:p>
    <w:p>
      <w:pPr>
        <w:pStyle w:val="Style5"/>
        <w:numPr>
          <w:ilvl w:val="0"/>
          <w:numId w:val="5"/>
        </w:numPr>
        <w:widowControl w:val="0"/>
        <w:keepNext w:val="0"/>
        <w:keepLines w:val="0"/>
        <w:shd w:val="clear" w:color="auto" w:fill="auto"/>
        <w:bidi w:val="0"/>
        <w:jc w:val="both"/>
        <w:spacing w:before="0" w:after="0" w:line="322" w:lineRule="exact"/>
        <w:ind w:left="20" w:right="20" w:firstLine="520"/>
      </w:pPr>
      <w:r>
        <w:rPr>
          <w:lang w:val="en-US" w:eastAsia="en-US" w:bidi="en-US"/>
          <w:w w:val="100"/>
          <w:spacing w:val="0"/>
          <w:color w:val="000000"/>
          <w:position w:val="0"/>
        </w:rPr>
        <w:t xml:space="preserve"> </w:t>
      </w:r>
      <w:r>
        <w:rPr>
          <w:lang w:val="ru-RU" w:eastAsia="ru-RU" w:bidi="ru-RU"/>
          <w:w w:val="100"/>
          <w:spacing w:val="0"/>
          <w:color w:val="000000"/>
          <w:position w:val="0"/>
        </w:rPr>
        <w:t xml:space="preserve">предоставление улучшенных по сравнению с требованиями Технического задания характеристик для 40-50% (не включая 50%) от общего количества наименований пищевых продуктов - 50 </w:t>
      </w:r>
      <w:r>
        <w:rPr>
          <w:lang w:val="en-US" w:eastAsia="en-US" w:bidi="en-US"/>
          <w:w w:val="100"/>
          <w:spacing w:val="0"/>
          <w:color w:val="000000"/>
          <w:position w:val="0"/>
        </w:rPr>
        <w:t>(Ki);</w:t>
      </w:r>
    </w:p>
    <w:p>
      <w:pPr>
        <w:pStyle w:val="Style5"/>
        <w:numPr>
          <w:ilvl w:val="0"/>
          <w:numId w:val="5"/>
        </w:numPr>
        <w:widowControl w:val="0"/>
        <w:keepNext w:val="0"/>
        <w:keepLines w:val="0"/>
        <w:shd w:val="clear" w:color="auto" w:fill="auto"/>
        <w:bidi w:val="0"/>
        <w:jc w:val="both"/>
        <w:spacing w:before="0" w:after="0" w:line="322" w:lineRule="exact"/>
        <w:ind w:left="20" w:right="20" w:firstLine="520"/>
      </w:pPr>
      <w:r>
        <w:rPr>
          <w:lang w:val="en-US" w:eastAsia="en-US" w:bidi="en-US"/>
          <w:w w:val="100"/>
          <w:spacing w:val="0"/>
          <w:color w:val="000000"/>
          <w:position w:val="0"/>
        </w:rPr>
        <w:t xml:space="preserve"> </w:t>
      </w:r>
      <w:r>
        <w:rPr>
          <w:lang w:val="ru-RU" w:eastAsia="ru-RU" w:bidi="ru-RU"/>
          <w:w w:val="100"/>
          <w:spacing w:val="0"/>
          <w:color w:val="000000"/>
          <w:position w:val="0"/>
        </w:rPr>
        <w:t xml:space="preserve">предоставление улучшенных по сравнению с требованиями Технического задания характеристик для 50-60% (не включая 60%) от общего количества наименований пищевых продуктов - 60 </w:t>
      </w:r>
      <w:r>
        <w:rPr>
          <w:lang w:val="en-US" w:eastAsia="en-US" w:bidi="en-US"/>
          <w:w w:val="100"/>
          <w:spacing w:val="0"/>
          <w:color w:val="000000"/>
          <w:position w:val="0"/>
        </w:rPr>
        <w:t>(Ki);</w:t>
      </w:r>
    </w:p>
    <w:p>
      <w:pPr>
        <w:pStyle w:val="Style5"/>
        <w:numPr>
          <w:ilvl w:val="0"/>
          <w:numId w:val="5"/>
        </w:numPr>
        <w:widowControl w:val="0"/>
        <w:keepNext w:val="0"/>
        <w:keepLines w:val="0"/>
        <w:shd w:val="clear" w:color="auto" w:fill="auto"/>
        <w:bidi w:val="0"/>
        <w:jc w:val="both"/>
        <w:spacing w:before="0" w:after="0" w:line="322" w:lineRule="exact"/>
        <w:ind w:left="20" w:right="20" w:firstLine="520"/>
      </w:pPr>
      <w:r>
        <w:rPr>
          <w:lang w:val="en-US" w:eastAsia="en-US" w:bidi="en-US"/>
          <w:w w:val="100"/>
          <w:spacing w:val="0"/>
          <w:color w:val="000000"/>
          <w:position w:val="0"/>
        </w:rPr>
        <w:t xml:space="preserve"> </w:t>
      </w:r>
      <w:r>
        <w:rPr>
          <w:lang w:val="ru-RU" w:eastAsia="ru-RU" w:bidi="ru-RU"/>
          <w:w w:val="100"/>
          <w:spacing w:val="0"/>
          <w:color w:val="000000"/>
          <w:position w:val="0"/>
        </w:rPr>
        <w:t xml:space="preserve">предоставление улучшенных по сравнению с требованиями Технического задания характеристик для 60-70% (не включая 70%) от общего количества наименований пищевых продуктов - 70 </w:t>
      </w:r>
      <w:r>
        <w:rPr>
          <w:lang w:val="en-US" w:eastAsia="en-US" w:bidi="en-US"/>
          <w:w w:val="100"/>
          <w:spacing w:val="0"/>
          <w:color w:val="000000"/>
          <w:position w:val="0"/>
        </w:rPr>
        <w:t>(Ki);</w:t>
      </w:r>
    </w:p>
    <w:p>
      <w:pPr>
        <w:pStyle w:val="Style5"/>
        <w:numPr>
          <w:ilvl w:val="0"/>
          <w:numId w:val="5"/>
        </w:numPr>
        <w:widowControl w:val="0"/>
        <w:keepNext w:val="0"/>
        <w:keepLines w:val="0"/>
        <w:shd w:val="clear" w:color="auto" w:fill="auto"/>
        <w:bidi w:val="0"/>
        <w:jc w:val="both"/>
        <w:spacing w:before="0" w:after="0" w:line="322" w:lineRule="exact"/>
        <w:ind w:left="20" w:right="20" w:firstLine="520"/>
      </w:pPr>
      <w:r>
        <w:rPr>
          <w:lang w:val="en-US" w:eastAsia="en-US" w:bidi="en-US"/>
          <w:w w:val="100"/>
          <w:spacing w:val="0"/>
          <w:color w:val="000000"/>
          <w:position w:val="0"/>
        </w:rPr>
        <w:t xml:space="preserve"> </w:t>
      </w:r>
      <w:r>
        <w:rPr>
          <w:lang w:val="ru-RU" w:eastAsia="ru-RU" w:bidi="ru-RU"/>
          <w:w w:val="100"/>
          <w:spacing w:val="0"/>
          <w:color w:val="000000"/>
          <w:position w:val="0"/>
        </w:rPr>
        <w:t xml:space="preserve">предоставление улучшенных по сравнению с требованиями Технического задания характеристик для 70-80% (не включая 80%) от общего количества наименований пищевых продуктов - 80 </w:t>
      </w:r>
      <w:r>
        <w:rPr>
          <w:lang w:val="en-US" w:eastAsia="en-US" w:bidi="en-US"/>
          <w:w w:val="100"/>
          <w:spacing w:val="0"/>
          <w:color w:val="000000"/>
          <w:position w:val="0"/>
        </w:rPr>
        <w:t>(Ki);</w:t>
      </w:r>
    </w:p>
    <w:p>
      <w:pPr>
        <w:pStyle w:val="Style5"/>
        <w:numPr>
          <w:ilvl w:val="0"/>
          <w:numId w:val="5"/>
        </w:numPr>
        <w:widowControl w:val="0"/>
        <w:keepNext w:val="0"/>
        <w:keepLines w:val="0"/>
        <w:shd w:val="clear" w:color="auto" w:fill="auto"/>
        <w:bidi w:val="0"/>
        <w:jc w:val="both"/>
        <w:spacing w:before="0" w:after="0" w:line="322" w:lineRule="exact"/>
        <w:ind w:left="20" w:right="20" w:firstLine="520"/>
      </w:pPr>
      <w:r>
        <w:rPr>
          <w:lang w:val="en-US" w:eastAsia="en-US" w:bidi="en-US"/>
          <w:w w:val="100"/>
          <w:spacing w:val="0"/>
          <w:color w:val="000000"/>
          <w:position w:val="0"/>
        </w:rPr>
        <w:t xml:space="preserve"> </w:t>
      </w:r>
      <w:r>
        <w:rPr>
          <w:lang w:val="ru-RU" w:eastAsia="ru-RU" w:bidi="ru-RU"/>
          <w:w w:val="100"/>
          <w:spacing w:val="0"/>
          <w:color w:val="000000"/>
          <w:position w:val="0"/>
        </w:rPr>
        <w:t xml:space="preserve">предоставление улучшенных по сравнению с требованиями Технического задания характеристик для 80-90% (не включая 90%) от общего количества наименований пищевых продуктов - 90 </w:t>
      </w:r>
      <w:r>
        <w:rPr>
          <w:lang w:val="en-US" w:eastAsia="en-US" w:bidi="en-US"/>
          <w:w w:val="100"/>
          <w:spacing w:val="0"/>
          <w:color w:val="000000"/>
          <w:position w:val="0"/>
        </w:rPr>
        <w:t>(Ki);</w:t>
      </w:r>
    </w:p>
    <w:p>
      <w:pPr>
        <w:pStyle w:val="Style5"/>
        <w:numPr>
          <w:ilvl w:val="0"/>
          <w:numId w:val="5"/>
        </w:numPr>
        <w:widowControl w:val="0"/>
        <w:keepNext w:val="0"/>
        <w:keepLines w:val="0"/>
        <w:shd w:val="clear" w:color="auto" w:fill="auto"/>
        <w:bidi w:val="0"/>
        <w:jc w:val="both"/>
        <w:spacing w:before="0" w:after="0" w:line="322" w:lineRule="exact"/>
        <w:ind w:left="20" w:right="20" w:firstLine="520"/>
      </w:pPr>
      <w:r>
        <w:rPr>
          <w:lang w:val="en-US" w:eastAsia="en-US" w:bidi="en-US"/>
          <w:w w:val="100"/>
          <w:spacing w:val="0"/>
          <w:color w:val="000000"/>
          <w:position w:val="0"/>
        </w:rPr>
        <w:t xml:space="preserve"> </w:t>
      </w:r>
      <w:r>
        <w:rPr>
          <w:lang w:val="ru-RU" w:eastAsia="ru-RU" w:bidi="ru-RU"/>
          <w:w w:val="100"/>
          <w:spacing w:val="0"/>
          <w:color w:val="000000"/>
          <w:position w:val="0"/>
        </w:rPr>
        <w:t xml:space="preserve">предоставление улучшенных по сравнению с требованиями Технического задания характеристик для 90% и более от общего количества наименований пищевых продуктов - 100 </w:t>
      </w:r>
      <w:r>
        <w:rPr>
          <w:lang w:val="en-US" w:eastAsia="en-US" w:bidi="en-US"/>
          <w:w w:val="100"/>
          <w:spacing w:val="0"/>
          <w:color w:val="000000"/>
          <w:position w:val="0"/>
        </w:rPr>
        <w:t>(Ki).</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Предложения по данному показателю представляются участником закупки в соответствии с Приложением 2 «Функциональные, потребительские свойства товара» к порядку оценки заявок.</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Непредоставление в составе заявки участника конкурса документов, предусмотренных настоящими критериями, не является основанием для отказа в допуске к участию в конкурсе.</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При оценке заявок по критериям комиссией будут учитываться предложения, представленные участником закупки в составе заявки на участие в конкурсе. Предоставление иных документов и сведений, не установленных порядком оценки заявок участников, не требуется.</w:t>
      </w:r>
    </w:p>
    <w:p>
      <w:pPr>
        <w:pStyle w:val="Style5"/>
        <w:widowControl w:val="0"/>
        <w:keepNext w:val="0"/>
        <w:keepLines w:val="0"/>
        <w:shd w:val="clear" w:color="auto" w:fill="auto"/>
        <w:bidi w:val="0"/>
        <w:jc w:val="both"/>
        <w:spacing w:before="0" w:after="0" w:line="322" w:lineRule="exact"/>
        <w:ind w:left="20" w:right="0" w:firstLine="520"/>
      </w:pPr>
      <w:r>
        <w:rPr>
          <w:lang w:val="ru-RU" w:eastAsia="ru-RU" w:bidi="ru-RU"/>
          <w:w w:val="100"/>
          <w:spacing w:val="0"/>
          <w:color w:val="000000"/>
          <w:position w:val="0"/>
        </w:rPr>
        <w:t>Порядок оценки:</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Количество баллов, присуждаемых по показателю (</w:t>
      </w:r>
      <w:r>
        <w:rPr>
          <w:rStyle w:val="CharStyle11"/>
        </w:rPr>
        <w:t>НЦ</w:t>
      </w:r>
      <w:r>
        <w:rPr>
          <w:lang w:val="ru-RU" w:eastAsia="ru-RU" w:bidi="ru-RU"/>
          <w:w w:val="100"/>
          <w:spacing w:val="0"/>
          <w:color w:val="000000"/>
          <w:position w:val="0"/>
        </w:rPr>
        <w:t>Б</w:t>
      </w:r>
      <w:r>
        <w:rPr>
          <w:rStyle w:val="CharStyle12"/>
        </w:rPr>
        <w:t>1</w:t>
      </w:r>
      <w:r>
        <w:rPr>
          <w:lang w:val="ru-RU" w:eastAsia="ru-RU" w:bidi="ru-RU"/>
          <w:w w:val="100"/>
          <w:spacing w:val="0"/>
          <w:color w:val="000000"/>
          <w:position w:val="0"/>
        </w:rPr>
        <w:t xml:space="preserve">'), определяется по формуле: </w:t>
      </w:r>
      <w:r>
        <w:rPr>
          <w:rStyle w:val="CharStyle11"/>
        </w:rPr>
        <w:t>НЦБ</w:t>
      </w:r>
      <w:r>
        <w:rPr>
          <w:rStyle w:val="CharStyle12"/>
        </w:rPr>
        <w:t>1</w:t>
      </w:r>
      <w:r>
        <w:rPr>
          <w:lang w:val="ru-RU" w:eastAsia="ru-RU" w:bidi="ru-RU"/>
          <w:w w:val="100"/>
          <w:spacing w:val="0"/>
          <w:color w:val="000000"/>
          <w:position w:val="0"/>
        </w:rPr>
        <w:t xml:space="preserve"> = КЗ х </w:t>
      </w:r>
      <w:r>
        <w:rPr>
          <w:lang w:val="en-US" w:eastAsia="en-US" w:bidi="en-US"/>
          <w:w w:val="100"/>
          <w:spacing w:val="0"/>
          <w:color w:val="000000"/>
          <w:position w:val="0"/>
        </w:rPr>
        <w:t>Ki,</w:t>
      </w:r>
    </w:p>
    <w:p>
      <w:pPr>
        <w:pStyle w:val="Style5"/>
        <w:widowControl w:val="0"/>
        <w:keepNext w:val="0"/>
        <w:keepLines w:val="0"/>
        <w:shd w:val="clear" w:color="auto" w:fill="auto"/>
        <w:bidi w:val="0"/>
        <w:jc w:val="both"/>
        <w:spacing w:before="0" w:after="0" w:line="322" w:lineRule="exact"/>
        <w:ind w:left="20" w:right="0" w:firstLine="520"/>
      </w:pPr>
      <w:r>
        <w:rPr>
          <w:lang w:val="ru-RU" w:eastAsia="ru-RU" w:bidi="ru-RU"/>
          <w:w w:val="100"/>
          <w:spacing w:val="0"/>
          <w:color w:val="000000"/>
          <w:position w:val="0"/>
        </w:rPr>
        <w:t>где:</w:t>
      </w:r>
    </w:p>
    <w:p>
      <w:pPr>
        <w:pStyle w:val="Style5"/>
        <w:widowControl w:val="0"/>
        <w:keepNext w:val="0"/>
        <w:keepLines w:val="0"/>
        <w:shd w:val="clear" w:color="auto" w:fill="auto"/>
        <w:bidi w:val="0"/>
        <w:jc w:val="both"/>
        <w:spacing w:before="0" w:after="0" w:line="322" w:lineRule="exact"/>
        <w:ind w:left="20" w:right="0" w:firstLine="520"/>
      </w:pPr>
      <w:r>
        <w:rPr>
          <w:lang w:val="ru-RU" w:eastAsia="ru-RU" w:bidi="ru-RU"/>
          <w:w w:val="100"/>
          <w:spacing w:val="0"/>
          <w:color w:val="000000"/>
          <w:position w:val="0"/>
        </w:rPr>
        <w:t>КЗ - коэффициент значимости показателя;</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К - предложение участника закупки, заявка (предложение) которого оценивается.</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Оценка в 0 баллов по показателю будет присвоена участнику конкурса, который не представил предложения по данному показателю».</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Согласно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В составе жалобы Заявитель указывает на то, что в заявке приложен файл «Предложение участника в отношении показателя «Функциональные, потребительские свойства товара», соответствующий рекомендуемой Заказчиком форме (Приложение №2 к критериям оценки заявок участников закупки), ввиду чего присвоение 0 баллов по причине отсутствия предложения по вышеуказанному показателю неправомерно.</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 xml:space="preserve">Согласно п.2 ч.4 ст.54.4 Закона о контрактной системе </w:t>
      </w:r>
      <w:r>
        <w:rPr>
          <w:rStyle w:val="CharStyle13"/>
        </w:rPr>
        <w:t xml:space="preserve">первая часть заявки на участие в открытом конкурсе в электронной форме должна содержать </w:t>
      </w:r>
      <w:r>
        <w:rPr>
          <w:lang w:val="ru-RU" w:eastAsia="ru-RU" w:bidi="ru-RU"/>
          <w:w w:val="100"/>
          <w:spacing w:val="0"/>
          <w:color w:val="000000"/>
          <w:position w:val="0"/>
        </w:rPr>
        <w:t>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п.3 ч.1 ст.32 Закона о контрактной системе.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На заседании Комиссии Управления представитель Заказчика пояснил, что в составе первой части заявки в соответствии с п.2 ч.4 ст.54.4 Закона о контрактной системе Заявителем не представлено предложение о качественных, функциональных и об экологических характеристиках объекта закупки, предусмотренных показателем «Функциональные, потребительские свойства товара» нестоимостного критерия оценки заявок «Качественные, функциональные и экологические характеристики объекта закупки», ввиду чего заявителю присвоено 0 баллов.</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Комиссией Управления установлено, что предложение участника в отношении показателя «Функциональные, потребительские свойства товара» представлено Заявителем в составе второй части заявки, что не предусматривает возможность оценки конкурсной комиссией таких сведений в составе первых частей.</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заседании Комиссии Управления Заявитель участие не принял, а также в составе жалобы не представлено документов и сведений, свидетельствующих об обоснованности указанного довода жалобы, а также подтверждающих неправомерную оценку заявки Заявителя по показателю «Функциональные, потребительские свойства товара» с учетом отсутствия такого предложения в составе первой части заявки, представление которого предусмотрено п.2 ч.4 ст.54.4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Таким образом, Комиссия Управления приходит к выводу о том, что данный довод жалобы не нашел своего подтверждения и является необоснованным.</w:t>
      </w:r>
    </w:p>
    <w:p>
      <w:pPr>
        <w:pStyle w:val="Style5"/>
        <w:widowControl w:val="0"/>
        <w:keepNext w:val="0"/>
        <w:keepLines w:val="0"/>
        <w:shd w:val="clear" w:color="auto" w:fill="auto"/>
        <w:bidi w:val="0"/>
        <w:jc w:val="both"/>
        <w:spacing w:before="0" w:after="289" w:line="322" w:lineRule="exact"/>
        <w:ind w:left="20" w:right="20" w:firstLine="56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9"/>
        <w:widowControl w:val="0"/>
        <w:keepNext/>
        <w:keepLines/>
        <w:shd w:val="clear" w:color="auto" w:fill="auto"/>
        <w:bidi w:val="0"/>
        <w:spacing w:before="0" w:after="303" w:line="260" w:lineRule="exact"/>
        <w:ind w:left="0" w:right="0" w:firstLine="0"/>
      </w:pPr>
      <w:bookmarkStart w:id="1" w:name="bookmark1"/>
      <w:r>
        <w:rPr>
          <w:lang w:val="ru-RU" w:eastAsia="ru-RU" w:bidi="ru-RU"/>
          <w:w w:val="100"/>
          <w:spacing w:val="0"/>
          <w:color w:val="000000"/>
          <w:position w:val="0"/>
        </w:rPr>
        <w:t>Р Е Ш И Л А:</w:t>
      </w:r>
      <w:bookmarkEnd w:id="1"/>
    </w:p>
    <w:p>
      <w:pPr>
        <w:pStyle w:val="Style5"/>
        <w:numPr>
          <w:ilvl w:val="0"/>
          <w:numId w:val="7"/>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Признать жалобу ООО «Экспресс-Продукт» на действия конкурсной комиссии ГБУЗ «ГКБ им. М.Е. Жадкевича ДЗМ» необоснованной.</w:t>
      </w:r>
    </w:p>
    <w:p>
      <w:pPr>
        <w:pStyle w:val="Style5"/>
        <w:numPr>
          <w:ilvl w:val="0"/>
          <w:numId w:val="7"/>
        </w:numPr>
        <w:widowControl w:val="0"/>
        <w:keepNext w:val="0"/>
        <w:keepLines w:val="0"/>
        <w:shd w:val="clear" w:color="auto" w:fill="auto"/>
        <w:bidi w:val="0"/>
        <w:jc w:val="both"/>
        <w:spacing w:before="0" w:after="244"/>
        <w:ind w:left="20" w:right="20" w:firstLine="56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№ЕИ/7758/21 от 11.02.2021.</w:t>
      </w:r>
    </w:p>
    <w:p>
      <w:pPr>
        <w:pStyle w:val="Style5"/>
        <w:widowControl w:val="0"/>
        <w:keepNext w:val="0"/>
        <w:keepLines w:val="0"/>
        <w:shd w:val="clear" w:color="auto" w:fill="auto"/>
        <w:bidi w:val="0"/>
        <w:jc w:val="both"/>
        <w:spacing w:before="0" w:after="289" w:line="322" w:lineRule="exact"/>
        <w:ind w:left="20" w:right="20" w:firstLine="5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Председательствующий:</w:t>
      </w:r>
    </w:p>
    <w:p>
      <w:pPr>
        <w:pStyle w:val="Style5"/>
        <w:tabs>
          <w:tab w:leader="none" w:pos="9102" w:val="right"/>
          <w:tab w:leader="none" w:pos="10174"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ДА.</w:t>
        <w:tab/>
        <w:t>Сологов</w:t>
      </w:r>
    </w:p>
    <w:p>
      <w:pPr>
        <w:pStyle w:val="Style5"/>
        <w:tabs>
          <w:tab w:leader="none" w:pos="9308" w:val="right"/>
          <w:tab w:leader="none" w:pos="10174"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К.А.</w:t>
        <w:tab/>
        <w:t>Сомов</w:t>
      </w:r>
    </w:p>
    <w:p>
      <w:pPr>
        <w:pStyle w:val="Style5"/>
        <w:tabs>
          <w:tab w:leader="none" w:pos="8521" w:val="center"/>
          <w:tab w:leader="none" w:pos="10174" w:val="right"/>
        </w:tabs>
        <w:widowControl w:val="0"/>
        <w:keepNext w:val="0"/>
        <w:keepLines w:val="0"/>
        <w:shd w:val="clear" w:color="auto" w:fill="auto"/>
        <w:bidi w:val="0"/>
        <w:jc w:val="both"/>
        <w:spacing w:before="0" w:after="1387" w:line="638" w:lineRule="exact"/>
        <w:ind w:left="20" w:right="0" w:firstLine="0"/>
      </w:pPr>
      <w:r>
        <w:rPr>
          <w:lang w:val="ru-RU" w:eastAsia="ru-RU" w:bidi="ru-RU"/>
          <w:w w:val="100"/>
          <w:spacing w:val="0"/>
          <w:color w:val="000000"/>
          <w:position w:val="0"/>
        </w:rPr>
        <w:t>Член Комиссии</w:t>
        <w:tab/>
        <w:t>Н.С.</w:t>
        <w:tab/>
        <w:t>Лушникова</w:t>
      </w:r>
    </w:p>
    <w:p>
      <w:pPr>
        <w:pStyle w:val="Style14"/>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Исп. Сомов К.А. 8(495)784-75-05 (077-143)</w:t>
      </w:r>
    </w:p>
    <w:sectPr>
      <w:footnotePr>
        <w:pos w:val="pageBottom"/>
        <w:numFmt w:val="decimal"/>
        <w:numRestart w:val="continuous"/>
      </w:footnotePr>
      <w:type w:val="continuous"/>
      <w:pgSz w:w="11906" w:h="16838"/>
      <w:pgMar w:top="1190" w:left="853" w:right="838" w:bottom="13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6"/>
    <w:rPr>
      <w:lang w:val="ru-RU" w:eastAsia="ru-RU" w:bidi="ru-RU"/>
      <w:u w:val="single"/>
      <w:w w:val="100"/>
      <w:spacing w:val="0"/>
      <w:color w:val="000000"/>
      <w:position w:val="0"/>
    </w:rPr>
  </w:style>
  <w:style w:type="character" w:customStyle="1" w:styleId="CharStyle12">
    <w:name w:val="Основной текст + 8 pt"/>
    <w:basedOn w:val="CharStyle6"/>
    <w:rPr>
      <w:lang w:val="ru-RU" w:eastAsia="ru-RU" w:bidi="ru-RU"/>
      <w:sz w:val="16"/>
      <w:szCs w:val="16"/>
      <w:w w:val="100"/>
      <w:spacing w:val="0"/>
      <w:color w:val="000000"/>
      <w:position w:val="0"/>
    </w:rPr>
  </w:style>
  <w:style w:type="character" w:customStyle="1" w:styleId="CharStyle13">
    <w:name w:val="Основной текст + Курсив"/>
    <w:basedOn w:val="CharStyle6"/>
    <w:rPr>
      <w:lang w:val="ru-RU" w:eastAsia="ru-RU" w:bidi="ru-RU"/>
      <w:i/>
      <w:iCs/>
      <w:w w:val="100"/>
      <w:spacing w:val="0"/>
      <w:color w:val="000000"/>
      <w:position w:val="0"/>
    </w:rPr>
  </w:style>
  <w:style w:type="character" w:customStyle="1" w:styleId="CharStyle15">
    <w:name w:val="Основной текст (3)_"/>
    <w:basedOn w:val="DefaultParagraphFont"/>
    <w:link w:val="Style14"/>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32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300" w:line="322"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both"/>
      <w:spacing w:before="102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