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252" w:line="260" w:lineRule="exact"/>
        <w:ind w:left="0" w:right="20" w:firstLine="0"/>
      </w:pPr>
      <w:r>
        <w:rPr>
          <w:lang w:val="ru-RU" w:eastAsia="ru-RU" w:bidi="ru-RU"/>
          <w:w w:val="100"/>
          <w:spacing w:val="0"/>
          <w:color w:val="000000"/>
          <w:position w:val="0"/>
        </w:rPr>
        <w:t>Администрация поселения Вороновское</w:t>
      </w:r>
    </w:p>
    <w:p>
      <w:pPr>
        <w:pStyle w:val="Style5"/>
        <w:widowControl w:val="0"/>
        <w:keepNext w:val="0"/>
        <w:keepLines w:val="0"/>
        <w:shd w:val="clear" w:color="auto" w:fill="auto"/>
        <w:bidi w:val="0"/>
        <w:jc w:val="both"/>
        <w:spacing w:before="0" w:after="346" w:line="317" w:lineRule="exact"/>
        <w:ind w:left="1160" w:right="20" w:firstLine="0"/>
      </w:pPr>
      <w:r>
        <w:rPr>
          <w:lang w:val="ru-RU" w:eastAsia="ru-RU" w:bidi="ru-RU"/>
          <w:w w:val="100"/>
          <w:spacing w:val="0"/>
          <w:color w:val="000000"/>
          <w:position w:val="0"/>
        </w:rPr>
        <w:t>Вороново с., д. 31, стр. 1, г. Москва, 108830</w:t>
      </w:r>
    </w:p>
    <w:p>
      <w:pPr>
        <w:pStyle w:val="Style5"/>
        <w:widowControl w:val="0"/>
        <w:keepNext w:val="0"/>
        <w:keepLines w:val="0"/>
        <w:shd w:val="clear" w:color="auto" w:fill="auto"/>
        <w:bidi w:val="0"/>
        <w:spacing w:before="0" w:after="243" w:line="260" w:lineRule="exact"/>
        <w:ind w:left="0" w:right="20" w:firstLine="0"/>
      </w:pPr>
      <w:r>
        <w:rPr>
          <w:lang w:val="ru-RU" w:eastAsia="ru-RU" w:bidi="ru-RU"/>
          <w:w w:val="100"/>
          <w:spacing w:val="0"/>
          <w:color w:val="000000"/>
          <w:position w:val="0"/>
        </w:rPr>
        <w:t>ООО «Пресня-сервис»</w:t>
      </w:r>
    </w:p>
    <w:p>
      <w:pPr>
        <w:pStyle w:val="Style5"/>
        <w:widowControl w:val="0"/>
        <w:keepNext w:val="0"/>
        <w:keepLines w:val="0"/>
        <w:shd w:val="clear" w:color="auto" w:fill="auto"/>
        <w:bidi w:val="0"/>
        <w:jc w:val="both"/>
        <w:spacing w:before="0" w:after="349" w:line="322" w:lineRule="exact"/>
        <w:ind w:left="1160" w:right="20" w:firstLine="0"/>
      </w:pPr>
      <w:r>
        <w:rPr>
          <w:lang w:val="ru-RU" w:eastAsia="ru-RU" w:bidi="ru-RU"/>
          <w:w w:val="100"/>
          <w:spacing w:val="0"/>
          <w:color w:val="000000"/>
          <w:position w:val="0"/>
        </w:rPr>
        <w:t>ул. Малая Грузинская, д. 21, кв. 9, г. Москва, 123557</w:t>
      </w:r>
    </w:p>
    <w:p>
      <w:pPr>
        <w:pStyle w:val="Style5"/>
        <w:widowControl w:val="0"/>
        <w:keepNext w:val="0"/>
        <w:keepLines w:val="0"/>
        <w:shd w:val="clear" w:color="auto" w:fill="auto"/>
        <w:bidi w:val="0"/>
        <w:spacing w:before="0" w:after="243" w:line="260" w:lineRule="exact"/>
        <w:ind w:left="0" w:right="20" w:firstLine="0"/>
      </w:pPr>
      <w:r>
        <w:rPr>
          <w:lang w:val="ru-RU" w:eastAsia="ru-RU" w:bidi="ru-RU"/>
          <w:w w:val="100"/>
          <w:spacing w:val="0"/>
          <w:color w:val="000000"/>
          <w:position w:val="0"/>
        </w:rPr>
        <w:t>АО «Сбербанк-АСТ»</w:t>
      </w:r>
    </w:p>
    <w:p>
      <w:pPr>
        <w:pStyle w:val="Style5"/>
        <w:widowControl w:val="0"/>
        <w:keepNext w:val="0"/>
        <w:keepLines w:val="0"/>
        <w:shd w:val="clear" w:color="auto" w:fill="auto"/>
        <w:bidi w:val="0"/>
        <w:jc w:val="left"/>
        <w:spacing w:before="0" w:after="540" w:line="322" w:lineRule="exact"/>
        <w:ind w:left="5320" w:right="20"/>
      </w:pPr>
      <w:r>
        <w:rPr>
          <w:lang w:val="ru-RU" w:eastAsia="ru-RU" w:bidi="ru-RU"/>
          <w:w w:val="100"/>
          <w:spacing w:val="0"/>
          <w:color w:val="000000"/>
          <w:position w:val="0"/>
        </w:rPr>
        <w:t>Ул. Большой Саввинский пер., д. 12, стр. 9, г. Москва, 119435</w:t>
      </w:r>
    </w:p>
    <w:p>
      <w:pPr>
        <w:pStyle w:val="Style7"/>
        <w:tabs>
          <w:tab w:leader="none" w:pos="11209" w:val="left"/>
        </w:tabs>
        <w:widowControl w:val="0"/>
        <w:keepNext w:val="0"/>
        <w:keepLines w:val="0"/>
        <w:shd w:val="clear" w:color="auto" w:fill="auto"/>
        <w:bidi w:val="0"/>
        <w:jc w:val="left"/>
        <w:spacing w:before="0" w:after="0"/>
        <w:ind w:left="2300" w:right="2280" w:firstLine="2080"/>
      </w:pPr>
      <w:r>
        <w:rPr>
          <w:lang w:val="ru-RU" w:eastAsia="ru-RU" w:bidi="ru-RU"/>
          <w:w w:val="100"/>
          <w:spacing w:val="0"/>
          <w:color w:val="000000"/>
          <w:position w:val="0"/>
        </w:rPr>
        <w:t>РЕШЕНИЕ по делу № 077/06/106-2052/2021 о нарушении законодательства о контрактной системе</w:t>
      </w:r>
    </w:p>
    <w:p>
      <w:pPr>
        <w:pStyle w:val="Style7"/>
        <w:numPr>
          <w:ilvl w:val="0"/>
          <w:numId w:val="1"/>
        </w:numPr>
        <w:tabs>
          <w:tab w:leader="none" w:pos="8931" w:val="left"/>
          <w:tab w:leader="none" w:pos="893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 Москва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tabs>
          <w:tab w:leader="none" w:pos="3034" w:val="right"/>
          <w:tab w:leader="none" w:pos="4700" w:val="center"/>
          <w:tab w:leader="none" w:pos="6361" w:val="left"/>
          <w:tab w:leader="none" w:pos="10206"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Председательствующего: заместителя председателя Комиссии — заместителя начальника</w:t>
        <w:tab/>
        <w:t>отдела</w:t>
        <w:tab/>
        <w:t>обжалования</w:t>
        <w:tab/>
        <w:t>государственных</w:t>
        <w:tab/>
        <w:t>закупок</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Д.С. Грешневой,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Члена Комиссии: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5"/>
        <w:tabs>
          <w:tab w:leader="none" w:pos="59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рассмотрение жалоб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tabs>
          <w:tab w:leader="none" w:pos="8294"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представители Администрация поселения Вороновское:</w:t>
        <w:tab/>
        <w:t>Р.Н. Косенков</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(дов. № б/н от 09.02.2021), ООО «Пресня-сервис»: А.Г. Шафоростов (дов. №б/н от 25.11.2020), участвовали в заседании Комиссии Управления посредством конференц</w:t>
        <w:softHyphen/>
        <w:t>связи,</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в присутствии третьего лица: Ю.Г. Парфеновой,</w:t>
      </w:r>
    </w:p>
    <w:p>
      <w:pPr>
        <w:pStyle w:val="Style3"/>
        <w:framePr w:w="1349" w:h="427" w:wrap="around" w:vAnchor="text" w:hAnchor="margin" w:x="354" w:y="64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000674069524</w:t>
      </w:r>
    </w:p>
    <w:p>
      <w:pPr>
        <w:pStyle w:val="Style5"/>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рассмотрев жалобы ООО «Пресня-сервис» (далее — Заявитель) на действия</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Администрации поселения Вороновское (далее — Заказчик) при проведении электронных аукционов на право заключения государственных контрактов на содержание населенных пунктов, объектов благоустройства и озеленения в поселении Вороновское в 2021г., содержание дворовых территорий, объектов благоустройства и озеленения в поселении Вороновское в 2021г. (Закупки №№ 0148300019320000025, 0148300019320000023) (далее - электронные аукционы, аукционы)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электронных аукционов.</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 рассмотрев представленные документы и сведения, запрашиваемые письмом Московского УФАС России от 05.02.2021 №ЕИ/6412/21,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доводам жалоб Заказчиком неправомерно размещены протоколы признания участника уклонившимся от заключения контрактов от 02.02.2021 №ППУ1 в связи с представлением в качестве обеспечения исполнения контрактов банковских гарантий, не соответствующих требованиям аукционных документаций.</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Согласно протоколам подведения итогов электронных аукционов от</w:t>
      </w:r>
    </w:p>
    <w:p>
      <w:pPr>
        <w:pStyle w:val="Style5"/>
        <w:numPr>
          <w:ilvl w:val="0"/>
          <w:numId w:val="3"/>
        </w:numPr>
        <w:tabs>
          <w:tab w:leader="none" w:pos="1470"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№0148300019320000023-4, 0148300019320000025-4, ООО «Пресня- сервис» признано победителем электронных аукционов.</w:t>
      </w:r>
    </w:p>
    <w:p>
      <w:pPr>
        <w:pStyle w:val="Style5"/>
        <w:numPr>
          <w:ilvl w:val="0"/>
          <w:numId w:val="5"/>
        </w:numPr>
        <w:tabs>
          <w:tab w:leader="none" w:pos="1225"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ст.25 Закона о контрактной системе установлено, что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кодексом Российской Федерации и Законом о контрактной системе. Контракт с победителем либо победителями совместных конкурса или аукциона заключается каждым заказчиком.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ч.2 ст.25 Закона о контрактной системе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ст.26 Закона о контрактной системе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ч.1 ст.83.2 Закона о контрактной системе по результатам электронной процедуры контракт заключается с победителем электронной процедуры.</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 8 ст. 69,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 23 ст. 68 Закона о контрактной системе, информации о товаре (товарном знаке и (или) конкретных показателях товара),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 4 ст.83.2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срок действия контракта не менее чем на один месяц.</w:t>
      </w:r>
    </w:p>
    <w:p>
      <w:pPr>
        <w:pStyle w:val="Style5"/>
        <w:numPr>
          <w:ilvl w:val="0"/>
          <w:numId w:val="5"/>
        </w:numPr>
        <w:tabs>
          <w:tab w:leader="none" w:pos="1254"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победителем аукционов в адрес Администрации поселения Вороновское направлены подписанные проекты контрактов и обеспечение исполнения контрактов в виде банковских гарантий от</w:t>
      </w:r>
    </w:p>
    <w:p>
      <w:pPr>
        <w:pStyle w:val="Style5"/>
        <w:numPr>
          <w:ilvl w:val="0"/>
          <w:numId w:val="7"/>
        </w:numPr>
        <w:tabs>
          <w:tab w:leader="none" w:pos="1537"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МТС-156301/20, выданной ПАО «МТС-Банк», от 22.01.2021 ЭГ/08378/039, выданной АО «Московский Коммерческий Банк» (далее — Банковские гарантии).</w:t>
      </w:r>
    </w:p>
    <w:p>
      <w:pPr>
        <w:pStyle w:val="Style5"/>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Согласно ч.5 ст.45 Закона о контрактной системе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ч.7 ст.45 Закона о контрактной системе в случае отказа в принятии банковской гарантии заказчик в срок, установленный ч.5 ст.45 Закона о контрактной системе,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этим в протоколах признания участника уклонившимся от заключения контрактов от 02.02.2021 №ППУ1 указаны причины несоответствия Банковских гарантий требованиям аукционных документаций, в частности, отсутствие следующих положений:</w:t>
      </w:r>
    </w:p>
    <w:p>
      <w:pPr>
        <w:pStyle w:val="Style5"/>
        <w:numPr>
          <w:ilvl w:val="0"/>
          <w:numId w:val="9"/>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Банковские гарантии должны быть безотзывными и должны содержать обязательства Гаранта выплатить Бенефициару сумму Гарантии или ее часть, а именно:</w:t>
      </w:r>
    </w:p>
    <w:p>
      <w:pPr>
        <w:pStyle w:val="Style5"/>
        <w:numPr>
          <w:ilvl w:val="0"/>
          <w:numId w:val="9"/>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обязательство уплатить всю сумму по Гарантиям в случае расторжения Контрактов по причине неисполнения Принципалом обязательств по Контрактам, обеспеченных Гарантиями, если Принципал не приступил к выполнению обязательств по Контрактам;</w:t>
      </w:r>
    </w:p>
    <w:p>
      <w:pPr>
        <w:pStyle w:val="Style5"/>
        <w:numPr>
          <w:ilvl w:val="0"/>
          <w:numId w:val="9"/>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обязательство уплатить сумму, уменьшенную пропорционально стоимости исполненных обязательств, приемка и оплата которых осуществлены в порядке и сроки, предусмотренные контрактами, в случае расторжения Контрактов по причине ненадлежащего исполнения Принципалом обязательств по Контрактам, обеспеченных Гарантиями.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Комиссией Управления представитель Заказчика пояснил, что причиной отклонения банковских гарантий является исключительно отсутствие следующего условия: «обязательство уплатить всю сумму по Гарантиям в случае расторжения Контрактов по причине неисполнения Принципалом обязательств по Контрактам, обеспеченных Гарантиями, если Принципал не приступил к выполнению обязательств по Контрактам», иные причины указаны в протокол ах ввиду технической ошибки.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об обоснованности доводов жалоб в части признания участника уклонившимся по некорректным основаниям указанным в протоколах признания участника уклонившимся от заключения контрактов от 02.02.2021 №ППУ1, а также о нарушении Заказчиком ч.13 ст. 83.2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п.26.2 Информационных карт аукционных документаций содержит требования к банковской гарантии, в том числе к наличию в банковской гарантии указания на следующие обязательства Гаранта перед Бенефициаром: «обязательство уплатить всю сумму по Гарантии в случае расторжения Контракта по причине неисполнения Принципалом обязательств по</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Контракту, обеспеченных Гарантией, если Принципал не приступил к выполнению обязательств по Контракту».</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в представленных Заявителем в качестве обеспечения исполнения контрактов Банковских гарантиях отсутствуют вышеуказанные условия.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Заявитель представил Банковские гарантии, которые содержат в себе лишь часть обязательных условий, и, как следствие, не могли быть признаны надлежащим обеспечением исполнения обязательств по государственным контрактам.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Управления отмечает, что по своей правовой природе обеспечение исполнения контракта представляет собой обеспечительный платеж, которым покрываются обязательства участника закупки, возникающие у него в ходе исполнения государственного контракта. При этом, поскольку государственный заказчик в рассматриваемых правоотношениях обладает большим объемом публично-правовых обязанностей, нежели участник закупки, и осуществляет обеспечение государственных и муниципальных нужд в товарах, работах и услугах, то интересы такого заказчика в рамках исполнения государственного контракта должны быть обеспечены определенной Законом о контрактной системе денежной суммой, которой будут покрываться причиненные заказчику убытки в случае нарушения или невыполнения победителем закупки условий государственного контракта. Данная позиция содержится в решениях Арбитражного суда города Москвы по делам №№ А40-25152/2018, А40-37326/2018 и др.</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судами определен правовой подход, согласно которому противоречия, любые риски, возникающие относительно возможности тех или иных выплат в рамках требования по банковской гарантии, следует толковать в пользу Заказчика ввиду того, что государственный заказчик, заключая государственный контракт, действует из публичных интересов, а оплата в рамках такого контракта происходит из бюджетов бюджетной системы Российской Федерации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Банковские гарантии, представленные Заявителем в качестве обеспечения исполнения контрактов, не содержат обязательства, указанные в п.26.2 Информационных карт аукционных документаций.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 3 ч. 6 ст. 45 Закона о контрактной системе основанием для отказа в принятии банковской гарантии заказчиком является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 6 ст. 45 Закона о контрактной системе основанием для отказа в принятии банковской гарантии заказчиком является:</w:t>
      </w:r>
    </w:p>
    <w:p>
      <w:pPr>
        <w:pStyle w:val="Style5"/>
        <w:numPr>
          <w:ilvl w:val="0"/>
          <w:numId w:val="1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отсутствие информации о банковской гарантии в реестре банковских гарантий;</w:t>
      </w:r>
    </w:p>
    <w:p>
      <w:pPr>
        <w:pStyle w:val="Style5"/>
        <w:numPr>
          <w:ilvl w:val="0"/>
          <w:numId w:val="1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условиям, указанным в ч.2 и 3 ст. 45 Закона о контрактной системе;</w:t>
      </w:r>
    </w:p>
    <w:p>
      <w:pPr>
        <w:pStyle w:val="Style5"/>
        <w:numPr>
          <w:ilvl w:val="0"/>
          <w:numId w:val="1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о необоснованности доводов жалоб, так как у Заказчика имелись основания для признания банковских гарантий не соответствующими требованиям аукционных документаций.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в ходе проведения внеплановой проверки Комиссией Управления установлено следующее.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ч.1 ст.45 Закона о контрактной системе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ч.6 ст.45 Закона о контрактной системе основанием для отказа в принятии банковской гарантии заказчиком является:</w:t>
      </w:r>
    </w:p>
    <w:p>
      <w:pPr>
        <w:pStyle w:val="Style5"/>
        <w:numPr>
          <w:ilvl w:val="0"/>
          <w:numId w:val="1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отсутствие информации о банковской гарантии в предусмотренных ст.45 Закона о контрактной системе реестрах банковских гарантий;</w:t>
      </w:r>
    </w:p>
    <w:p>
      <w:pPr>
        <w:pStyle w:val="Style5"/>
        <w:numPr>
          <w:ilvl w:val="0"/>
          <w:numId w:val="1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условиям, указанным в частях 2 и 3 ст.45 Закона о контрактной системе;</w:t>
      </w:r>
    </w:p>
    <w:p>
      <w:pPr>
        <w:pStyle w:val="Style5"/>
        <w:numPr>
          <w:ilvl w:val="0"/>
          <w:numId w:val="1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П.8 ч.42 Закона о контрактной системе установлено, что в извещении об осуществлении закупки должна содержаться, если иное не предусмотрено Законом о контрактной системе, следующая информация: размер обеспечения исполнения контракта, требования к такому обеспечению, порядок предоставления такого обеспечения, устанавливаемые в соответствии с Законом о контрактной системе (если установление требования обеспечения исполнения контракта предусмотрено статьей 96 Закона о контрактной системе), а также информация о банковском сопровождении контракта в соответствии со ст. 35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ч.8.2 ст.45 Закона о контрактной системе дополнительные 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Правительства №1005) банковская гарантия оформляется с учетом, в том числе требования об обязательном закреплении в банковской гарантии права Заказчика в случае ненадлежащего выполнения или невыполнения поставщиком (подрядчиком,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Заказчиком, в аукционных документациях, неправомерно установлено требование к банковской гарантии, обеспечивающей исполнение контракта, об обязательстве уплатить всю сумму по Гарантии в случае расторжения Контракта по причине неисполнения Принципалом обязательств по Контракту, обеспеченных Гарантией, если Принципал не приступил к выполнению обязательств по Контракту, поскольку вышеуказанное положение не предусмотрено ч.8.2 ст.45 Закона о контрактной системе, а также положениями постановления Правительства Российской Федерации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28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1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Признать жалобы ООО «Пресня-сервис» на действия Администрации поселения Вороновское обоснованной в части неправомерного признания участника уклонившимся по некорректным основаниям отраженных протоколах признания участника уклонившимся.</w:t>
      </w:r>
    </w:p>
    <w:p>
      <w:pPr>
        <w:pStyle w:val="Style5"/>
        <w:numPr>
          <w:ilvl w:val="0"/>
          <w:numId w:val="1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Признать в действиях Заказчика нарушение ч.8.2 ст.45, ч.13 ст. 83.2 Закона о контрактной системе.</w:t>
      </w:r>
    </w:p>
    <w:p>
      <w:pPr>
        <w:pStyle w:val="Style5"/>
        <w:numPr>
          <w:ilvl w:val="0"/>
          <w:numId w:val="15"/>
        </w:numPr>
        <w:widowControl w:val="0"/>
        <w:keepNext w:val="0"/>
        <w:keepLines w:val="0"/>
        <w:shd w:val="clear" w:color="auto" w:fill="auto"/>
        <w:bidi w:val="0"/>
        <w:jc w:val="both"/>
        <w:spacing w:before="0" w:after="240" w:line="322" w:lineRule="exact"/>
        <w:ind w:left="0" w:right="2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289"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5"/>
        <w:tabs>
          <w:tab w:leader="none" w:pos="8806" w:val="right"/>
          <w:tab w:leader="none" w:pos="10130" w:val="right"/>
        </w:tabs>
        <w:widowControl w:val="0"/>
        <w:keepNext w:val="0"/>
        <w:keepLines w:val="0"/>
        <w:shd w:val="clear" w:color="auto" w:fill="auto"/>
        <w:bidi w:val="0"/>
        <w:jc w:val="both"/>
        <w:spacing w:before="0" w:after="0" w:line="562"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10130" w:val="right"/>
          <w:tab w:leader="none" w:pos="10109" w:val="right"/>
        </w:tabs>
        <w:widowControl w:val="0"/>
        <w:keepNext w:val="0"/>
        <w:keepLines w:val="0"/>
        <w:shd w:val="clear" w:color="auto" w:fill="auto"/>
        <w:bidi w:val="0"/>
        <w:jc w:val="both"/>
        <w:spacing w:before="0" w:after="0" w:line="562" w:lineRule="exact"/>
        <w:ind w:left="0" w:right="0" w:firstLine="0"/>
      </w:pPr>
      <w:r>
        <w:rPr>
          <w:lang w:val="ru-RU" w:eastAsia="ru-RU" w:bidi="ru-RU"/>
          <w:w w:val="100"/>
          <w:spacing w:val="0"/>
          <w:color w:val="000000"/>
          <w:position w:val="0"/>
        </w:rPr>
        <w:t>Заместитель председателя Комиссии:</w:t>
        <w:tab/>
        <w:t>А.С.</w:t>
        <w:tab/>
        <w:t>Спирякова</w:t>
      </w:r>
    </w:p>
    <w:p>
      <w:pPr>
        <w:pStyle w:val="Style5"/>
        <w:tabs>
          <w:tab w:leader="none" w:pos="8626" w:val="right"/>
          <w:tab w:leader="none" w:pos="10130" w:val="right"/>
        </w:tabs>
        <w:widowControl w:val="0"/>
        <w:keepNext w:val="0"/>
        <w:keepLines w:val="0"/>
        <w:shd w:val="clear" w:color="auto" w:fill="auto"/>
        <w:bidi w:val="0"/>
        <w:jc w:val="both"/>
        <w:spacing w:before="0" w:after="1069" w:line="562" w:lineRule="exact"/>
        <w:ind w:left="0" w:right="0" w:firstLine="0"/>
      </w:pPr>
      <w:r>
        <w:rPr>
          <w:lang w:val="ru-RU" w:eastAsia="ru-RU" w:bidi="ru-RU"/>
          <w:w w:val="100"/>
          <w:spacing w:val="0"/>
          <w:color w:val="000000"/>
          <w:position w:val="0"/>
        </w:rPr>
        <w:t>Член Комиссии:</w:t>
        <w:tab/>
        <w:t>А.А.</w:t>
        <w:tab/>
        <w:t>Матюшенко</w:t>
      </w:r>
    </w:p>
    <w:p>
      <w:pPr>
        <w:pStyle w:val="Style11"/>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992" w:left="848" w:right="839" w:bottom="97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8.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2.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360" w:line="0" w:lineRule="exact"/>
      <w:ind w:hanging="416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5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78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