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1" w:after="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ind w:left="0" w:right="20" w:firstLine="0"/>
        <w:sectPr>
          <w:footnotePr>
            <w:pos w:val="pageBottom"/>
            <w:numFmt w:val="decimal"/>
            <w:numRestart w:val="continuous"/>
          </w:footnotePr>
          <w:type w:val="continuous"/>
          <w:pgSz w:w="16838" w:h="23810"/>
          <w:pgMar w:top="3795" w:left="4624" w:right="3554" w:bottom="4505" w:header="0" w:footer="3" w:gutter="0"/>
          <w:rtlGutter w:val="0"/>
          <w:cols w:num="2" w:space="720" w:equalWidth="0">
            <w:col w:w="3571" w:space="528"/>
            <w:col w:w="4560"/>
          </w:cols>
          <w:noEndnote/>
          <w:docGrid w:linePitch="360"/>
        </w:sectPr>
      </w:pPr>
      <w:r>
        <w:rPr>
          <w:rStyle w:val="CharStyle7"/>
        </w:rPr>
        <w:t>Заявителю</w:t>
      </w:r>
      <w:r>
        <w:rPr>
          <w:lang w:val="ru-RU" w:eastAsia="ru-RU" w:bidi="ru-RU"/>
          <w:sz w:val="24"/>
          <w:szCs w:val="24"/>
          <w:w w:val="100"/>
          <w:spacing w:val="0"/>
          <w:color w:val="000000"/>
          <w:position w:val="0"/>
        </w:rPr>
        <w:t xml:space="preserve">: ООО «ДЖУЛИ» 620063, Свердловская обл., г. Екатеринбург, ул. Чапаева, стр. 14. корп.З, часть помещения 19 </w:t>
      </w:r>
      <w:r>
        <w:rPr>
          <w:lang w:val="en-US" w:eastAsia="en-US" w:bidi="en-US"/>
          <w:sz w:val="24"/>
          <w:szCs w:val="24"/>
          <w:w w:val="100"/>
          <w:spacing w:val="0"/>
          <w:color w:val="000000"/>
          <w:position w:val="0"/>
        </w:rPr>
        <w:t xml:space="preserve">e-mail: </w:t>
      </w:r>
      <w:r>
        <w:fldChar w:fldCharType="begin"/>
      </w:r>
      <w:r>
        <w:rPr>
          <w:rStyle w:val="CharStyle7"/>
        </w:rPr>
        <w:instrText> HYPERLINK "mailto:July096@yandex.ru" </w:instrText>
      </w:r>
      <w:r>
        <w:fldChar w:fldCharType="separate"/>
      </w:r>
      <w:r>
        <w:rPr>
          <w:rStyle w:val="Hyperlink"/>
          <w:lang w:val="en-US" w:eastAsia="en-US" w:bidi="en-US"/>
        </w:rPr>
        <w:t>July096@yandex.ru</w:t>
      </w:r>
      <w:r>
        <w:fldChar w:fldCharType="end"/>
      </w:r>
    </w:p>
    <w:p>
      <w:pPr>
        <w:pStyle w:val="Style5"/>
        <w:framePr w:h="226" w:wrap="around" w:vAnchor="text" w:hAnchor="margin" w:x="2721" w:y="1892"/>
        <w:widowControl w:val="0"/>
        <w:keepNext w:val="0"/>
        <w:keepLines w:val="0"/>
        <w:shd w:val="clear" w:color="auto" w:fill="auto"/>
        <w:bidi w:val="0"/>
        <w:jc w:val="left"/>
        <w:spacing w:before="0" w:after="0" w:line="220" w:lineRule="exact"/>
        <w:ind w:left="100" w:right="0" w:firstLine="0"/>
      </w:pPr>
      <w:r>
        <w:rPr>
          <w:rStyle w:val="CharStyle8"/>
          <w:spacing w:val="0"/>
        </w:rPr>
        <w:t>621/03</w:t>
      </w:r>
    </w:p>
    <w:p>
      <w:pPr>
        <w:widowControl w:val="0"/>
        <w:rPr>
          <w:sz w:val="2"/>
          <w:szCs w:val="2"/>
        </w:rPr>
      </w:pPr>
    </w:p>
    <w:p>
      <w:pPr>
        <w:pStyle w:val="Style9"/>
        <w:widowControl w:val="0"/>
        <w:keepNext w:val="0"/>
        <w:keepLines w:val="0"/>
        <w:shd w:val="clear" w:color="auto" w:fill="auto"/>
        <w:bidi w:val="0"/>
        <w:spacing w:before="0" w:after="152"/>
        <w:ind w:left="0" w:right="0" w:firstLine="0"/>
      </w:pPr>
      <w:r>
        <w:rPr>
          <w:lang w:val="ru-RU" w:eastAsia="ru-RU" w:bidi="ru-RU"/>
          <w:sz w:val="24"/>
          <w:szCs w:val="24"/>
          <w:w w:val="100"/>
          <w:spacing w:val="0"/>
          <w:color w:val="000000"/>
          <w:position w:val="0"/>
        </w:rPr>
        <w:t>УПРАВЛЕНИЕ Федеральной антимонопольной службы по Орловской области</w:t>
      </w:r>
    </w:p>
    <w:p>
      <w:pPr>
        <w:pStyle w:val="Style11"/>
        <w:widowControl w:val="0"/>
        <w:keepNext w:val="0"/>
        <w:keepLines w:val="0"/>
        <w:shd w:val="clear" w:color="auto" w:fill="auto"/>
        <w:bidi w:val="0"/>
        <w:spacing w:before="0" w:after="202"/>
        <w:ind w:left="0" w:right="0" w:firstLine="0"/>
      </w:pPr>
      <w:r>
        <w:rPr>
          <w:lang w:val="ru-RU" w:eastAsia="ru-RU" w:bidi="ru-RU"/>
          <w:w w:val="100"/>
          <w:spacing w:val="0"/>
          <w:color w:val="000000"/>
          <w:position w:val="0"/>
        </w:rPr>
        <w:t xml:space="preserve">ул. Салтыкова-Щедрина. 21, г. Орёл,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5"/>
        <w:widowControl w:val="0"/>
        <w:keepNext w:val="0"/>
        <w:keepLines w:val="0"/>
        <w:shd w:val="clear" w:color="auto" w:fill="auto"/>
        <w:bidi w:val="0"/>
        <w:jc w:val="center"/>
        <w:spacing w:before="0" w:after="0" w:line="240" w:lineRule="exact"/>
        <w:ind w:left="0" w:right="0" w:firstLine="0"/>
      </w:pPr>
      <w:r>
        <w:rPr>
          <w:lang w:val="ru-RU" w:eastAsia="ru-RU" w:bidi="ru-RU"/>
          <w:sz w:val="24"/>
          <w:szCs w:val="24"/>
          <w:w w:val="100"/>
          <w:spacing w:val="0"/>
          <w:color w:val="000000"/>
          <w:position w:val="0"/>
        </w:rPr>
        <w:t>17.02.2021 №</w:t>
      </w:r>
    </w:p>
    <w:p>
      <w:pPr>
        <w:pStyle w:val="Style5"/>
        <w:widowControl w:val="0"/>
        <w:keepNext w:val="0"/>
        <w:keepLines w:val="0"/>
        <w:shd w:val="clear" w:color="auto" w:fill="auto"/>
        <w:bidi w:val="0"/>
        <w:spacing w:before="0" w:after="0" w:line="269" w:lineRule="exact"/>
        <w:ind w:left="0" w:right="20" w:firstLine="0"/>
        <w:sectPr>
          <w:type w:val="continuous"/>
          <w:pgSz w:w="16838" w:h="23810"/>
          <w:pgMar w:top="3780" w:left="4043" w:right="3563" w:bottom="4490" w:header="0" w:footer="3" w:gutter="0"/>
          <w:rtlGutter w:val="0"/>
          <w:cols w:num="2" w:space="720" w:equalWidth="0">
            <w:col w:w="4738" w:space="902"/>
            <w:col w:w="3590"/>
          </w:cols>
          <w:noEndnote/>
          <w:docGrid w:linePitch="360"/>
        </w:sectPr>
      </w:pPr>
      <w:r>
        <w:rPr>
          <w:lang w:val="ru-RU" w:eastAsia="ru-RU" w:bidi="ru-RU"/>
          <w:sz w:val="24"/>
          <w:szCs w:val="24"/>
          <w:w w:val="100"/>
          <w:spacing w:val="0"/>
          <w:color w:val="000000"/>
          <w:position w:val="0"/>
        </w:rPr>
        <w:t>З</w:t>
      </w:r>
      <w:r>
        <w:rPr>
          <w:rStyle w:val="CharStyle7"/>
        </w:rPr>
        <w:t>аказчику</w:t>
      </w:r>
      <w:r>
        <w:rPr>
          <w:lang w:val="ru-RU" w:eastAsia="ru-RU" w:bidi="ru-RU"/>
          <w:sz w:val="24"/>
          <w:szCs w:val="24"/>
          <w:w w:val="100"/>
          <w:spacing w:val="0"/>
          <w:color w:val="000000"/>
          <w:position w:val="0"/>
        </w:rPr>
        <w:t xml:space="preserve">: МБОУ «Змиевская средняя общеобразовательная школа» 303320, Орловская область, Свердловский район, пгт. Змиевка, ул. Школьная, д. 5 </w:t>
      </w:r>
      <w:r>
        <w:rPr>
          <w:lang w:val="en-US" w:eastAsia="en-US" w:bidi="en-US"/>
          <w:sz w:val="24"/>
          <w:szCs w:val="24"/>
          <w:w w:val="100"/>
          <w:spacing w:val="0"/>
          <w:color w:val="000000"/>
          <w:position w:val="0"/>
        </w:rPr>
        <w:t xml:space="preserve">e-mail: </w:t>
      </w:r>
      <w:r>
        <w:fldChar w:fldCharType="begin"/>
      </w:r>
      <w:r>
        <w:rPr>
          <w:rStyle w:val="CharStyle7"/>
        </w:rPr>
        <w:instrText> HYPERLINK "mailto:sekretar250@mail.ru" </w:instrText>
      </w:r>
      <w:r>
        <w:fldChar w:fldCharType="separate"/>
      </w:r>
      <w:r>
        <w:rPr>
          <w:rStyle w:val="Hyperlink"/>
          <w:lang w:val="en-US" w:eastAsia="en-US" w:bidi="en-US"/>
        </w:rPr>
        <w:t>sekretar250@mail.ru</w:t>
      </w:r>
      <w:r>
        <w:fldChar w:fldCharType="end"/>
      </w:r>
    </w:p>
    <w:p>
      <w:pPr>
        <w:widowControl w:val="0"/>
        <w:spacing w:line="218" w:lineRule="exact"/>
        <w:rPr>
          <w:sz w:val="18"/>
          <w:szCs w:val="18"/>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framePr w:h="210" w:wrap="around" w:vAnchor="text" w:hAnchor="margin" w:x="2275" w:y="-14"/>
        <w:widowControl w:val="0"/>
        <w:keepNext w:val="0"/>
        <w:keepLines w:val="0"/>
        <w:shd w:val="clear" w:color="auto" w:fill="auto"/>
        <w:bidi w:val="0"/>
        <w:jc w:val="left"/>
        <w:spacing w:before="0" w:after="0" w:line="210" w:lineRule="exact"/>
        <w:ind w:left="100" w:right="0" w:firstLine="0"/>
      </w:pPr>
      <w:r>
        <w:rPr>
          <w:rStyle w:val="CharStyle13"/>
          <w:spacing w:val="0"/>
        </w:rPr>
        <w:t>от</w:t>
      </w:r>
    </w:p>
    <w:p>
      <w:pPr>
        <w:pStyle w:val="Style3"/>
        <w:widowControl w:val="0"/>
        <w:keepNext w:val="0"/>
        <w:keepLines w:val="0"/>
        <w:shd w:val="clear" w:color="auto" w:fill="auto"/>
        <w:bidi w:val="0"/>
        <w:jc w:val="both"/>
        <w:spacing w:before="0" w:after="140" w:line="220" w:lineRule="exact"/>
        <w:ind w:left="20" w:right="0" w:firstLine="0"/>
      </w:pPr>
      <w:r>
        <w:rPr>
          <w:lang w:val="ru-RU" w:eastAsia="ru-RU" w:bidi="ru-RU"/>
          <w:w w:val="100"/>
          <w:spacing w:val="0"/>
          <w:color w:val="000000"/>
          <w:position w:val="0"/>
        </w:rPr>
        <w:t>На №</w:t>
      </w:r>
    </w:p>
    <w:p>
      <w:pPr>
        <w:pStyle w:val="Style5"/>
        <w:widowControl w:val="0"/>
        <w:keepNext w:val="0"/>
        <w:keepLines w:val="0"/>
        <w:shd w:val="clear" w:color="auto" w:fill="auto"/>
        <w:bidi w:val="0"/>
        <w:spacing w:before="0" w:after="267" w:line="274" w:lineRule="exact"/>
        <w:ind w:left="5360" w:right="20" w:firstLine="0"/>
      </w:pPr>
      <w:r>
        <w:rPr>
          <w:rStyle w:val="CharStyle7"/>
        </w:rPr>
        <w:t>Оператору ЭТИ</w:t>
      </w:r>
      <w:r>
        <w:rPr>
          <w:lang w:val="ru-RU" w:eastAsia="ru-RU" w:bidi="ru-RU"/>
          <w:sz w:val="24"/>
          <w:szCs w:val="24"/>
          <w:w w:val="100"/>
          <w:spacing w:val="0"/>
          <w:color w:val="000000"/>
          <w:position w:val="0"/>
        </w:rPr>
        <w:t xml:space="preserve">: АО «Сбербанк-АСТ» </w:t>
      </w:r>
      <w:r>
        <w:rPr>
          <w:lang w:val="en-US" w:eastAsia="en-US" w:bidi="en-US"/>
          <w:sz w:val="24"/>
          <w:szCs w:val="24"/>
          <w:w w:val="100"/>
          <w:spacing w:val="0"/>
          <w:color w:val="000000"/>
          <w:position w:val="0"/>
        </w:rPr>
        <w:t xml:space="preserve">e-mail: </w:t>
      </w:r>
      <w:r>
        <w:fldChar w:fldCharType="begin"/>
      </w:r>
      <w:r>
        <w:rPr>
          <w:rStyle w:val="CharStyle7"/>
        </w:rPr>
        <w:instrText> HYPERLINK "mailto:ko@sberbank-ast.ru" </w:instrText>
      </w:r>
      <w:r>
        <w:fldChar w:fldCharType="separate"/>
      </w:r>
      <w:r>
        <w:rPr>
          <w:rStyle w:val="Hyperlink"/>
          <w:lang w:val="en-US" w:eastAsia="en-US" w:bidi="en-US"/>
        </w:rPr>
        <w:t>ko@sberbank-ast.ru</w:t>
      </w:r>
      <w:r>
        <w:fldChar w:fldCharType="end"/>
      </w:r>
    </w:p>
    <w:p>
      <w:pPr>
        <w:pStyle w:val="Style5"/>
        <w:widowControl w:val="0"/>
        <w:keepNext w:val="0"/>
        <w:keepLines w:val="0"/>
        <w:shd w:val="clear" w:color="auto" w:fill="auto"/>
        <w:bidi w:val="0"/>
        <w:spacing w:before="0" w:after="560" w:line="240" w:lineRule="exact"/>
        <w:ind w:left="0" w:right="20" w:firstLine="0"/>
      </w:pPr>
      <w:r>
        <w:rPr>
          <w:lang w:val="ru-RU" w:eastAsia="ru-RU" w:bidi="ru-RU"/>
          <w:sz w:val="24"/>
          <w:szCs w:val="24"/>
          <w:w w:val="100"/>
          <w:spacing w:val="0"/>
          <w:color w:val="000000"/>
          <w:position w:val="0"/>
        </w:rPr>
        <w:t xml:space="preserve">(Извещение </w:t>
      </w:r>
      <w:r>
        <w:rPr>
          <w:lang w:val="en-US" w:eastAsia="en-US" w:bidi="en-US"/>
          <w:sz w:val="24"/>
          <w:szCs w:val="24"/>
          <w:w w:val="100"/>
          <w:spacing w:val="0"/>
          <w:color w:val="000000"/>
          <w:position w:val="0"/>
        </w:rPr>
        <w:t xml:space="preserve">JV« </w:t>
      </w:r>
      <w:r>
        <w:rPr>
          <w:lang w:val="ru-RU" w:eastAsia="ru-RU" w:bidi="ru-RU"/>
          <w:sz w:val="24"/>
          <w:szCs w:val="24"/>
          <w:w w:val="100"/>
          <w:spacing w:val="0"/>
          <w:color w:val="000000"/>
          <w:position w:val="0"/>
        </w:rPr>
        <w:t>0354300070321000001)</w:t>
      </w:r>
    </w:p>
    <w:p>
      <w:pPr>
        <w:pStyle w:val="Style5"/>
        <w:widowControl w:val="0"/>
        <w:keepNext w:val="0"/>
        <w:keepLines w:val="0"/>
        <w:shd w:val="clear" w:color="auto" w:fill="auto"/>
        <w:bidi w:val="0"/>
        <w:jc w:val="center"/>
        <w:spacing w:before="0" w:after="282" w:line="293" w:lineRule="exact"/>
        <w:ind w:left="20" w:right="0" w:firstLine="0"/>
      </w:pPr>
      <w:r>
        <w:rPr>
          <w:rStyle w:val="CharStyle14"/>
        </w:rPr>
        <w:t>РЕШЕНИЕ</w:t>
      </w:r>
      <w:r>
        <w:rPr>
          <w:lang w:val="ru-RU" w:eastAsia="ru-RU" w:bidi="ru-RU"/>
          <w:sz w:val="24"/>
          <w:szCs w:val="24"/>
          <w:w w:val="100"/>
          <w:spacing w:val="0"/>
          <w:color w:val="000000"/>
          <w:position w:val="0"/>
        </w:rPr>
        <w:t xml:space="preserve"> № 057/06/64-73/2021 о нарушении законодательства о закупках</w:t>
      </w:r>
    </w:p>
    <w:p>
      <w:pPr>
        <w:pStyle w:val="Style5"/>
        <w:tabs>
          <w:tab w:leader="none" w:pos="8612" w:val="center"/>
          <w:tab w:leader="none" w:pos="9313" w:val="right"/>
        </w:tabs>
        <w:widowControl w:val="0"/>
        <w:keepNext w:val="0"/>
        <w:keepLines w:val="0"/>
        <w:shd w:val="clear" w:color="auto" w:fill="auto"/>
        <w:bidi w:val="0"/>
        <w:jc w:val="both"/>
        <w:spacing w:before="0" w:after="260" w:line="240" w:lineRule="exact"/>
        <w:ind w:left="20" w:right="0" w:firstLine="0"/>
      </w:pPr>
      <w:r>
        <w:rPr>
          <w:lang w:val="ru-RU" w:eastAsia="ru-RU" w:bidi="ru-RU"/>
          <w:sz w:val="24"/>
          <w:szCs w:val="24"/>
          <w:w w:val="100"/>
          <w:spacing w:val="0"/>
          <w:color w:val="000000"/>
          <w:position w:val="0"/>
        </w:rPr>
        <w:t>12 февраля 2021 года</w:t>
        <w:tab/>
        <w:t>г.</w:t>
        <w:tab/>
        <w:t>Орёл</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Комиссия Орловского У 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членов Комиссии: Торшиной О.А., ведущего специалиста-эксперта отдела контроля закупок и антимонопольного контроля органов власти, Шмыгиной Е.И., специалиста-эксперта отдела естественных монополий и рекламы, в присутствии представителей заказчика: МБОУ «Змиевская средняя общеобразовательная школа» (далее - Заказчик) - Орловой Е.Е., Головановой Н.В., Копаевой Н.С.,</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в отсутствие представителя заявителя: ООО «Джули» (далее - Заявитель), извещенного надлежащим образом,</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 xml:space="preserve">рассмотрев посредством интернет-видеоконференции с использованием сервиса видеоконференций </w:t>
      </w:r>
      <w:r>
        <w:rPr>
          <w:rStyle w:val="CharStyle15"/>
        </w:rPr>
        <w:t xml:space="preserve">TrueConf </w:t>
      </w:r>
      <w:r>
        <w:rPr>
          <w:lang w:val="ru-RU" w:eastAsia="ru-RU" w:bidi="ru-RU"/>
          <w:sz w:val="24"/>
          <w:szCs w:val="24"/>
          <w:w w:val="100"/>
          <w:spacing w:val="0"/>
          <w:color w:val="000000"/>
          <w:position w:val="0"/>
        </w:rPr>
        <w:t>жалобу ООО «Джули» на действия Заказчика при разработке документации об аукционе на выполнение работ по объекту капитального ремонта: «Капитальный ремонт здания Муниципального бюджетного образовательного учреждения «Змиевская средняя общеобразовательная школа», извещение № 0354300070321000001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в результате осуществления внеплановой проверки в соответствии с пунктом 1 части 15 статьи 99 Закона, пунктом 3.31 Административного регламента Федеральной антимонопольной службы по исполнению государственной функции по</w:t>
        <w:br w:type="page"/>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5"/>
        <w:widowControl w:val="0"/>
        <w:keepNext w:val="0"/>
        <w:keepLines w:val="0"/>
        <w:shd w:val="clear" w:color="auto" w:fill="auto"/>
        <w:bidi w:val="0"/>
        <w:jc w:val="left"/>
        <w:spacing w:before="0" w:after="0" w:line="293" w:lineRule="exact"/>
        <w:ind w:left="3820" w:right="0" w:firstLine="0"/>
      </w:pPr>
      <w:r>
        <w:rPr>
          <w:rStyle w:val="CharStyle14"/>
        </w:rPr>
        <w:t>УСТАНОВИЛА:</w:t>
      </w:r>
    </w:p>
    <w:p>
      <w:pPr>
        <w:pStyle w:val="Style5"/>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В жалобе Заявитель указал, что Заказчик разработал документацию об Аукционе, не соответствующую требованиям Закона, а именно: в составе аукционной документации Заказчиком не размещен проект сметы контракта.</w:t>
      </w:r>
    </w:p>
    <w:p>
      <w:pPr>
        <w:pStyle w:val="Style5"/>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Представители Заказчика жалобу Заявителя считают необоснованной, полагают, что действия Заказчика не нарушают требований Закона.</w:t>
      </w:r>
    </w:p>
    <w:p>
      <w:pPr>
        <w:pStyle w:val="Style5"/>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В результате рассмотрения жалобы Комиссия установила следующее.</w:t>
      </w:r>
    </w:p>
    <w:p>
      <w:pPr>
        <w:pStyle w:val="Style5"/>
        <w:numPr>
          <w:ilvl w:val="0"/>
          <w:numId w:val="1"/>
        </w:numPr>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numPr>
          <w:ilvl w:val="0"/>
          <w:numId w:val="3"/>
        </w:numPr>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 извещение об осуществлении закупки (с учетом изменений) размещено в единой информационной системе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- 29.01.2021;</w:t>
      </w:r>
    </w:p>
    <w:p>
      <w:pPr>
        <w:pStyle w:val="Style5"/>
        <w:numPr>
          <w:ilvl w:val="0"/>
          <w:numId w:val="3"/>
        </w:numPr>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 способ определения поставщика (подрядчика, исполнителя) - электронный аукцион;</w:t>
      </w:r>
    </w:p>
    <w:p>
      <w:pPr>
        <w:pStyle w:val="Style5"/>
        <w:numPr>
          <w:ilvl w:val="0"/>
          <w:numId w:val="3"/>
        </w:numPr>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 xml:space="preserve"> начальная (максимальная) цена контракта - 8 380 810,00 руб.;</w:t>
      </w:r>
    </w:p>
    <w:p>
      <w:pPr>
        <w:pStyle w:val="Style5"/>
        <w:numPr>
          <w:ilvl w:val="0"/>
          <w:numId w:val="3"/>
        </w:numPr>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 xml:space="preserve"> дата окончания срока подачи заявок - 04.02.2021;</w:t>
      </w:r>
    </w:p>
    <w:p>
      <w:pPr>
        <w:pStyle w:val="Style5"/>
        <w:numPr>
          <w:ilvl w:val="0"/>
          <w:numId w:val="5"/>
        </w:numPr>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 xml:space="preserve"> дата проведения Аукциона - 04.02.2021.</w:t>
      </w:r>
    </w:p>
    <w:p>
      <w:pPr>
        <w:pStyle w:val="Style5"/>
        <w:numPr>
          <w:ilvl w:val="0"/>
          <w:numId w:val="5"/>
        </w:numPr>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 на участие в Аукционе было подано 2 заявки, которые были признаны соответствующими требованиям аукционной документации и допущена к участию в Аукционе; победитель Аукциона - ООО «ЭЛИТСТРОЙ» (предложенная цена - 7 836 057,35 рублей).</w:t>
      </w:r>
    </w:p>
    <w:p>
      <w:pPr>
        <w:pStyle w:val="Style5"/>
        <w:numPr>
          <w:ilvl w:val="0"/>
          <w:numId w:val="1"/>
        </w:numPr>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 xml:space="preserve"> В соответствии с </w:t>
      </w:r>
      <w:r>
        <w:rPr>
          <w:rStyle w:val="CharStyle7"/>
        </w:rPr>
        <w:t>частью 6.1 статьи 110.2</w:t>
      </w:r>
      <w:r>
        <w:rPr>
          <w:lang w:val="ru-RU" w:eastAsia="ru-RU" w:bidi="ru-RU"/>
          <w:sz w:val="24"/>
          <w:szCs w:val="24"/>
          <w:w w:val="100"/>
          <w:spacing w:val="0"/>
          <w:color w:val="000000"/>
          <w:position w:val="0"/>
        </w:rPr>
        <w:t xml:space="preserve"> Закона оплата выполненных работ осуществляется в пределах цены контрактов, предметом которых являются строительство, реконструкция объектов капитального строительства, в соответствии с их сметой в сроки и в размерах, которые установлены таким контрактом или графиком оплаты выполненных по контракту работ (при наличии) с учетом графика выполнения строительно-монтажных работ и фактически выполненных подрядчиком работ.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w:t>
      </w:r>
      <w:r>
        <w:rPr>
          <w:rStyle w:val="CharStyle7"/>
        </w:rPr>
        <w:t>кодексом</w:t>
      </w:r>
      <w:r>
        <w:rPr>
          <w:lang w:val="ru-RU" w:eastAsia="ru-RU" w:bidi="ru-RU"/>
          <w:sz w:val="24"/>
          <w:szCs w:val="24"/>
          <w:w w:val="100"/>
          <w:spacing w:val="0"/>
          <w:color w:val="000000"/>
          <w:position w:val="0"/>
        </w:rPr>
        <w:t xml:space="preserve">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 xml:space="preserve">Также </w:t>
      </w:r>
      <w:r>
        <w:rPr>
          <w:rStyle w:val="CharStyle7"/>
        </w:rPr>
        <w:t>частью 7 статьи 110.2</w:t>
      </w:r>
      <w:r>
        <w:rPr>
          <w:lang w:val="ru-RU" w:eastAsia="ru-RU" w:bidi="ru-RU"/>
          <w:sz w:val="24"/>
          <w:szCs w:val="24"/>
          <w:w w:val="100"/>
          <w:spacing w:val="0"/>
          <w:color w:val="000000"/>
          <w:position w:val="0"/>
        </w:rPr>
        <w:t xml:space="preserve"> Закона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 xml:space="preserve">Согласно </w:t>
      </w:r>
      <w:r>
        <w:rPr>
          <w:rStyle w:val="CharStyle16"/>
        </w:rPr>
        <w:t>пункту</w:t>
      </w:r>
      <w:r>
        <w:rPr>
          <w:rStyle w:val="CharStyle17"/>
        </w:rPr>
        <w:t xml:space="preserve"> </w:t>
      </w:r>
      <w:r>
        <w:rPr>
          <w:rStyle w:val="CharStyle7"/>
        </w:rPr>
        <w:t>2</w:t>
      </w:r>
      <w:r>
        <w:rPr>
          <w:lang w:val="ru-RU" w:eastAsia="ru-RU" w:bidi="ru-RU"/>
          <w:sz w:val="24"/>
          <w:szCs w:val="24"/>
          <w:w w:val="100"/>
          <w:spacing w:val="0"/>
          <w:color w:val="000000"/>
          <w:position w:val="0"/>
        </w:rPr>
        <w:t xml:space="preserve"> приложения № 2 «Методика составления сметы контракта, предметом которого являются строительство, реконструкция объектов капитального строительства» к приказу Министерства строительства и жилищно- коммунального хозяйства Российской Федерации от 23 декабря 2019 года № 841/пр (далее - Методика) смета контракта на выполнение подрядных работ по строительству некапитальных строений и сооружений, а также других подрядных работ, указанных в </w:t>
      </w:r>
      <w:r>
        <w:rPr>
          <w:rStyle w:val="CharStyle7"/>
        </w:rPr>
        <w:t>разделе VI</w:t>
      </w:r>
      <w:r>
        <w:rPr>
          <w:lang w:val="ru-RU" w:eastAsia="ru-RU" w:bidi="ru-RU"/>
          <w:sz w:val="24"/>
          <w:szCs w:val="24"/>
          <w:w w:val="100"/>
          <w:spacing w:val="0"/>
          <w:color w:val="000000"/>
          <w:position w:val="0"/>
        </w:rPr>
        <w:t xml:space="preserve">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(далее - Порядок), по соглашению сторон контракта может быть составлена в соответствии с </w:t>
      </w:r>
      <w:r>
        <w:rPr>
          <w:rStyle w:val="CharStyle7"/>
        </w:rPr>
        <w:t>Методикой</w:t>
      </w:r>
      <w:r>
        <w:rPr>
          <w:lang w:val="ru-RU" w:eastAsia="ru-RU" w:bidi="ru-RU"/>
          <w:sz w:val="24"/>
          <w:szCs w:val="24"/>
          <w:w w:val="100"/>
          <w:spacing w:val="0"/>
          <w:color w:val="000000"/>
          <w:position w:val="0"/>
        </w:rPr>
        <w:t xml:space="preserve">, если в составе документации о закупке размещен </w:t>
      </w:r>
      <w:r>
        <w:rPr>
          <w:rStyle w:val="CharStyle7"/>
        </w:rPr>
        <w:t>проект</w:t>
      </w:r>
      <w:r>
        <w:rPr>
          <w:lang w:val="ru-RU" w:eastAsia="ru-RU" w:bidi="ru-RU"/>
          <w:sz w:val="24"/>
          <w:szCs w:val="24"/>
          <w:w w:val="100"/>
          <w:spacing w:val="0"/>
          <w:color w:val="000000"/>
          <w:position w:val="0"/>
        </w:rPr>
        <w:t xml:space="preserve"> сметы контракта.</w:t>
      </w:r>
    </w:p>
    <w:p>
      <w:pPr>
        <w:pStyle w:val="Style5"/>
        <w:widowControl w:val="0"/>
        <w:keepNext w:val="0"/>
        <w:keepLines w:val="0"/>
        <w:shd w:val="clear" w:color="auto" w:fill="auto"/>
        <w:bidi w:val="0"/>
        <w:jc w:val="both"/>
        <w:spacing w:before="0" w:after="0" w:line="288" w:lineRule="exact"/>
        <w:ind w:left="20" w:right="20" w:firstLine="700"/>
      </w:pPr>
      <w:r>
        <w:rPr>
          <w:rStyle w:val="CharStyle7"/>
        </w:rPr>
        <w:t>Пунктом 4</w:t>
      </w:r>
      <w:r>
        <w:rPr>
          <w:lang w:val="ru-RU" w:eastAsia="ru-RU" w:bidi="ru-RU"/>
          <w:sz w:val="24"/>
          <w:szCs w:val="24"/>
          <w:w w:val="100"/>
          <w:spacing w:val="0"/>
          <w:color w:val="000000"/>
          <w:position w:val="0"/>
        </w:rPr>
        <w:t xml:space="preserve"> Методики установлено, что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 установленном в порядке, проекта сметы контракта посредством указания цены каждого конструктивного решения (элемента), комплекса (вида) работ с учетом пропорционального снижения начальной (максимальной) цены контракта участником закупки, с которым заключается контракт.</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 xml:space="preserve">Согласно </w:t>
      </w:r>
      <w:r>
        <w:rPr>
          <w:rStyle w:val="CharStyle7"/>
        </w:rPr>
        <w:t>пункту 8 части 1 статьи 33</w:t>
      </w:r>
      <w:r>
        <w:rPr>
          <w:lang w:val="ru-RU" w:eastAsia="ru-RU" w:bidi="ru-RU"/>
          <w:sz w:val="24"/>
          <w:szCs w:val="24"/>
          <w:w w:val="100"/>
          <w:spacing w:val="0"/>
          <w:color w:val="000000"/>
          <w:position w:val="0"/>
        </w:rPr>
        <w:t xml:space="preserve"> Закона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w:t>
      </w:r>
      <w:r>
        <w:rPr>
          <w:rStyle w:val="CharStyle7"/>
        </w:rPr>
        <w:t>частями 16</w:t>
      </w:r>
      <w:r>
        <w:rPr>
          <w:lang w:val="ru-RU" w:eastAsia="ru-RU" w:bidi="ru-RU"/>
          <w:sz w:val="24"/>
          <w:szCs w:val="24"/>
          <w:w w:val="100"/>
          <w:spacing w:val="0"/>
          <w:color w:val="000000"/>
          <w:position w:val="0"/>
        </w:rPr>
        <w:t xml:space="preserve"> и </w:t>
      </w:r>
      <w:r>
        <w:rPr>
          <w:rStyle w:val="CharStyle7"/>
        </w:rPr>
        <w:t>16.1 статьи 34</w:t>
      </w:r>
      <w:r>
        <w:rPr>
          <w:lang w:val="ru-RU" w:eastAsia="ru-RU" w:bidi="ru-RU"/>
          <w:sz w:val="24"/>
          <w:szCs w:val="24"/>
          <w:w w:val="100"/>
          <w:spacing w:val="0"/>
          <w:color w:val="000000"/>
          <w:position w:val="0"/>
        </w:rPr>
        <w:t xml:space="preserve"> Закона,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w:t>
      </w:r>
      <w:r>
        <w:rPr>
          <w:rStyle w:val="CharStyle7"/>
        </w:rPr>
        <w:t>пунктом</w:t>
      </w:r>
      <w:r>
        <w:rPr>
          <w:lang w:val="ru-RU" w:eastAsia="ru-RU" w:bidi="ru-RU"/>
          <w:sz w:val="24"/>
          <w:szCs w:val="24"/>
          <w:w w:val="100"/>
          <w:spacing w:val="0"/>
          <w:color w:val="000000"/>
          <w:position w:val="0"/>
        </w:rPr>
        <w:t xml:space="preserve"> является надлежащим исполнением требований </w:t>
      </w:r>
      <w:r>
        <w:rPr>
          <w:rStyle w:val="CharStyle7"/>
        </w:rPr>
        <w:t>пунктов 1</w:t>
      </w:r>
      <w:r>
        <w:rPr>
          <w:lang w:val="ru-RU" w:eastAsia="ru-RU" w:bidi="ru-RU"/>
          <w:sz w:val="24"/>
          <w:szCs w:val="24"/>
          <w:w w:val="100"/>
          <w:spacing w:val="0"/>
          <w:color w:val="000000"/>
          <w:position w:val="0"/>
        </w:rPr>
        <w:t xml:space="preserve"> - </w:t>
      </w:r>
      <w:r>
        <w:rPr>
          <w:rStyle w:val="CharStyle7"/>
        </w:rPr>
        <w:t>3 части 33</w:t>
      </w:r>
      <w:r>
        <w:rPr>
          <w:lang w:val="ru-RU" w:eastAsia="ru-RU" w:bidi="ru-RU"/>
          <w:sz w:val="24"/>
          <w:szCs w:val="24"/>
          <w:w w:val="100"/>
          <w:spacing w:val="0"/>
          <w:color w:val="000000"/>
          <w:position w:val="0"/>
        </w:rPr>
        <w:t xml:space="preserve"> Закона.</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Таким образом, строительство, реконструкция, капитальный ремонт объекта капитального строительства осуществляется на основании проектной документации, обязательной частью которой являются сметы.</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Учитывая вышеизложенное, проектом сметы контракта являются размещенные в ЕИС в составе проектной документации сметы на выполнение работ.</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 xml:space="preserve">В соответствии с </w:t>
      </w:r>
      <w:r>
        <w:rPr>
          <w:rStyle w:val="CharStyle7"/>
        </w:rPr>
        <w:t>частью 1 статьи 743</w:t>
      </w:r>
      <w:r>
        <w:rPr>
          <w:lang w:val="ru-RU" w:eastAsia="ru-RU" w:bidi="ru-RU"/>
          <w:sz w:val="24"/>
          <w:szCs w:val="24"/>
          <w:w w:val="100"/>
          <w:spacing w:val="0"/>
          <w:color w:val="000000"/>
          <w:position w:val="0"/>
        </w:rPr>
        <w:t xml:space="preserve">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 определяющей объем, содержание работ и другие предъявляемые к ним требования, и со сметой, определяющей цену работ.</w:t>
      </w:r>
    </w:p>
    <w:p>
      <w:pPr>
        <w:pStyle w:val="Style5"/>
        <w:widowControl w:val="0"/>
        <w:keepNext w:val="0"/>
        <w:keepLines w:val="0"/>
        <w:shd w:val="clear" w:color="auto" w:fill="auto"/>
        <w:bidi w:val="0"/>
        <w:jc w:val="both"/>
        <w:spacing w:before="0" w:after="0" w:line="288" w:lineRule="exact"/>
        <w:ind w:left="20" w:right="20" w:firstLine="700"/>
      </w:pPr>
      <w:r>
        <w:rPr>
          <w:rStyle w:val="CharStyle7"/>
        </w:rPr>
        <w:t xml:space="preserve">Частью 6 статьи </w:t>
      </w:r>
      <w:r>
        <w:rPr>
          <w:rStyle w:val="CharStyle18"/>
        </w:rPr>
        <w:t>52</w:t>
      </w:r>
      <w:r>
        <w:rPr>
          <w:lang w:val="ru-RU" w:eastAsia="ru-RU" w:bidi="ru-RU"/>
          <w:sz w:val="24"/>
          <w:szCs w:val="24"/>
          <w:w w:val="100"/>
          <w:spacing w:val="0"/>
          <w:color w:val="000000"/>
          <w:position w:val="0"/>
        </w:rPr>
        <w:t xml:space="preserve"> Градостроительного кодекса Российской Федерации установлена обязанность лица, выполняющего работы по строительству осуществлять строительство, реконструкцию, капитальный ремонт объекта капитального строительства, в том числе в соответствии с проектной документацией.</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 xml:space="preserve">Состав проектно-сметной документации определен </w:t>
      </w:r>
      <w:r>
        <w:rPr>
          <w:rStyle w:val="CharStyle7"/>
        </w:rPr>
        <w:t>частью 12 статьи 48</w:t>
      </w:r>
      <w:r>
        <w:rPr>
          <w:lang w:val="ru-RU" w:eastAsia="ru-RU" w:bidi="ru-RU"/>
          <w:sz w:val="24"/>
          <w:szCs w:val="24"/>
          <w:w w:val="100"/>
          <w:spacing w:val="0"/>
          <w:color w:val="000000"/>
          <w:position w:val="0"/>
        </w:rPr>
        <w:t xml:space="preserve"> Градостроительного кодекса Российской Федерации и </w:t>
      </w:r>
      <w:r>
        <w:rPr>
          <w:rStyle w:val="CharStyle7"/>
        </w:rPr>
        <w:t>Положением</w:t>
      </w:r>
      <w:r>
        <w:rPr>
          <w:lang w:val="ru-RU" w:eastAsia="ru-RU" w:bidi="ru-RU"/>
          <w:sz w:val="24"/>
          <w:szCs w:val="24"/>
          <w:w w:val="100"/>
          <w:spacing w:val="0"/>
          <w:color w:val="000000"/>
          <w:position w:val="0"/>
        </w:rPr>
        <w:t xml:space="preserve"> о составе разделов проектной документации и требованиях к их содержанию, утвержденным постановлением Правительства Российской Федерации от 16.02.2008 № 87.</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sz w:val="24"/>
          <w:szCs w:val="24"/>
          <w:w w:val="100"/>
          <w:spacing w:val="0"/>
          <w:color w:val="000000"/>
          <w:position w:val="0"/>
        </w:rPr>
        <w:t xml:space="preserve">Согласно </w:t>
      </w:r>
      <w:r>
        <w:rPr>
          <w:rStyle w:val="CharStyle7"/>
        </w:rPr>
        <w:t>части 2 статьи 48</w:t>
      </w:r>
      <w:r>
        <w:rPr>
          <w:lang w:val="ru-RU" w:eastAsia="ru-RU" w:bidi="ru-RU"/>
          <w:sz w:val="24"/>
          <w:szCs w:val="24"/>
          <w:w w:val="100"/>
          <w:spacing w:val="0"/>
          <w:color w:val="000000"/>
          <w:position w:val="0"/>
        </w:rPr>
        <w:t xml:space="preserve"> Градостроительного Кодекса Российской Федерации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 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5"/>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 xml:space="preserve">Из анализа </w:t>
      </w:r>
      <w:r>
        <w:rPr>
          <w:rStyle w:val="CharStyle7"/>
        </w:rPr>
        <w:t>Положения</w:t>
      </w:r>
      <w:r>
        <w:rPr>
          <w:lang w:val="ru-RU" w:eastAsia="ru-RU" w:bidi="ru-RU"/>
          <w:sz w:val="24"/>
          <w:szCs w:val="24"/>
          <w:w w:val="100"/>
          <w:spacing w:val="0"/>
          <w:color w:val="000000"/>
          <w:position w:val="0"/>
        </w:rPr>
        <w:t xml:space="preserve"> о составе разделов проектной документации и требованиях к их содержанию следует, что проектная документация состоит из текстовой части, которая содержит сведения в отношении объекта капитального строительства, описание принятых технических и иных решений, пояснения, ссылки на нормативные и (или) технические документы, используемые при подготовке проектной документации и результаты расчетов, обосновывающие принятые решения; из графической части, которая отображает принятые технические и иные решения и выполняется в виде чертежей, схем, планов и других документов в графической форме, иными словами содержит требования к результату выполняемых работ.</w:t>
      </w:r>
    </w:p>
    <w:p>
      <w:pPr>
        <w:pStyle w:val="Style5"/>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 xml:space="preserve">В силу </w:t>
      </w:r>
      <w:r>
        <w:rPr>
          <w:rStyle w:val="CharStyle7"/>
        </w:rPr>
        <w:t>части 12 статьи 48</w:t>
      </w:r>
      <w:r>
        <w:rPr>
          <w:lang w:val="ru-RU" w:eastAsia="ru-RU" w:bidi="ru-RU"/>
          <w:sz w:val="24"/>
          <w:szCs w:val="24"/>
          <w:w w:val="100"/>
          <w:spacing w:val="0"/>
          <w:color w:val="000000"/>
          <w:position w:val="0"/>
        </w:rPr>
        <w:t xml:space="preserve"> Градостроительного Кодекса Российской Федерации в состав проектной документации объектов капитального строительства, за исключением проектной документации линейных объектов, включаются следующие разделы:</w:t>
      </w:r>
    </w:p>
    <w:p>
      <w:pPr>
        <w:pStyle w:val="Style5"/>
        <w:numPr>
          <w:ilvl w:val="0"/>
          <w:numId w:val="7"/>
        </w:numPr>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 xml:space="preserve"> пояснительная записка с исходными данными для архитектурно- строительного проектирования, строительства, реконструкции, капитального ремонта объектов капитального строительства, в том числе с результатами инженерных изысканий, техническими условиями;</w:t>
      </w:r>
    </w:p>
    <w:p>
      <w:pPr>
        <w:pStyle w:val="Style5"/>
        <w:numPr>
          <w:ilvl w:val="0"/>
          <w:numId w:val="7"/>
        </w:numPr>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 xml:space="preserve"> схема планировочной организации земельного участка, которая выполнена в соответствии с информацией, указанной в градостроительном плане земельного участка;</w:t>
      </w:r>
    </w:p>
    <w:p>
      <w:pPr>
        <w:pStyle w:val="Style5"/>
        <w:numPr>
          <w:ilvl w:val="0"/>
          <w:numId w:val="7"/>
        </w:numPr>
        <w:widowControl w:val="0"/>
        <w:keepNext w:val="0"/>
        <w:keepLines w:val="0"/>
        <w:shd w:val="clear" w:color="auto" w:fill="auto"/>
        <w:bidi w:val="0"/>
        <w:jc w:val="both"/>
        <w:spacing w:before="0" w:after="0" w:line="288" w:lineRule="exact"/>
        <w:ind w:left="40" w:right="0" w:firstLine="700"/>
      </w:pPr>
      <w:r>
        <w:rPr>
          <w:lang w:val="ru-RU" w:eastAsia="ru-RU" w:bidi="ru-RU"/>
          <w:sz w:val="24"/>
          <w:szCs w:val="24"/>
          <w:w w:val="100"/>
          <w:spacing w:val="0"/>
          <w:color w:val="000000"/>
          <w:position w:val="0"/>
        </w:rPr>
        <w:t xml:space="preserve"> архитектурные решения;</w:t>
      </w:r>
    </w:p>
    <w:p>
      <w:pPr>
        <w:pStyle w:val="Style5"/>
        <w:numPr>
          <w:ilvl w:val="0"/>
          <w:numId w:val="7"/>
        </w:numPr>
        <w:widowControl w:val="0"/>
        <w:keepNext w:val="0"/>
        <w:keepLines w:val="0"/>
        <w:shd w:val="clear" w:color="auto" w:fill="auto"/>
        <w:bidi w:val="0"/>
        <w:jc w:val="both"/>
        <w:spacing w:before="0" w:after="0" w:line="288" w:lineRule="exact"/>
        <w:ind w:left="40" w:right="0" w:firstLine="700"/>
      </w:pPr>
      <w:r>
        <w:rPr>
          <w:lang w:val="ru-RU" w:eastAsia="ru-RU" w:bidi="ru-RU"/>
          <w:sz w:val="24"/>
          <w:szCs w:val="24"/>
          <w:w w:val="100"/>
          <w:spacing w:val="0"/>
          <w:color w:val="000000"/>
          <w:position w:val="0"/>
        </w:rPr>
        <w:t xml:space="preserve"> конструктивные и объемно-планировочные решения;</w:t>
      </w:r>
    </w:p>
    <w:p>
      <w:pPr>
        <w:pStyle w:val="Style5"/>
        <w:numPr>
          <w:ilvl w:val="0"/>
          <w:numId w:val="7"/>
        </w:numPr>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 xml:space="preserve">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p>
      <w:pPr>
        <w:pStyle w:val="Style5"/>
        <w:numPr>
          <w:ilvl w:val="0"/>
          <w:numId w:val="7"/>
        </w:numPr>
        <w:widowControl w:val="0"/>
        <w:keepNext w:val="0"/>
        <w:keepLines w:val="0"/>
        <w:shd w:val="clear" w:color="auto" w:fill="auto"/>
        <w:bidi w:val="0"/>
        <w:jc w:val="both"/>
        <w:spacing w:before="0" w:after="0" w:line="288" w:lineRule="exact"/>
        <w:ind w:left="40" w:right="0" w:firstLine="700"/>
      </w:pPr>
      <w:r>
        <w:rPr>
          <w:lang w:val="ru-RU" w:eastAsia="ru-RU" w:bidi="ru-RU"/>
          <w:sz w:val="24"/>
          <w:szCs w:val="24"/>
          <w:w w:val="100"/>
          <w:spacing w:val="0"/>
          <w:color w:val="000000"/>
          <w:position w:val="0"/>
        </w:rPr>
        <w:t xml:space="preserve"> проект организации строительства объектов капитального строительства;</w:t>
      </w:r>
    </w:p>
    <w:p>
      <w:pPr>
        <w:pStyle w:val="Style5"/>
        <w:numPr>
          <w:ilvl w:val="0"/>
          <w:numId w:val="7"/>
        </w:numPr>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 xml:space="preserve"> проект организации работ по сносу объектов капитального строительства, их частей (при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pPr>
        <w:pStyle w:val="Style5"/>
        <w:numPr>
          <w:ilvl w:val="0"/>
          <w:numId w:val="7"/>
        </w:numPr>
        <w:widowControl w:val="0"/>
        <w:keepNext w:val="0"/>
        <w:keepLines w:val="0"/>
        <w:shd w:val="clear" w:color="auto" w:fill="auto"/>
        <w:bidi w:val="0"/>
        <w:jc w:val="both"/>
        <w:spacing w:before="0" w:after="0" w:line="288" w:lineRule="exact"/>
        <w:ind w:left="40" w:right="0" w:firstLine="700"/>
      </w:pPr>
      <w:r>
        <w:rPr>
          <w:lang w:val="ru-RU" w:eastAsia="ru-RU" w:bidi="ru-RU"/>
          <w:sz w:val="24"/>
          <w:szCs w:val="24"/>
          <w:w w:val="100"/>
          <w:spacing w:val="0"/>
          <w:color w:val="000000"/>
          <w:position w:val="0"/>
        </w:rPr>
        <w:t xml:space="preserve"> перечень мероприятий по охране окружающей среды;</w:t>
      </w:r>
    </w:p>
    <w:p>
      <w:pPr>
        <w:pStyle w:val="Style5"/>
        <w:numPr>
          <w:ilvl w:val="0"/>
          <w:numId w:val="7"/>
        </w:numPr>
        <w:widowControl w:val="0"/>
        <w:keepNext w:val="0"/>
        <w:keepLines w:val="0"/>
        <w:shd w:val="clear" w:color="auto" w:fill="auto"/>
        <w:bidi w:val="0"/>
        <w:jc w:val="both"/>
        <w:spacing w:before="0" w:after="0" w:line="288" w:lineRule="exact"/>
        <w:ind w:left="40" w:right="0" w:firstLine="700"/>
      </w:pPr>
      <w:r>
        <w:rPr>
          <w:lang w:val="ru-RU" w:eastAsia="ru-RU" w:bidi="ru-RU"/>
          <w:sz w:val="24"/>
          <w:szCs w:val="24"/>
          <w:w w:val="100"/>
          <w:spacing w:val="0"/>
          <w:color w:val="000000"/>
          <w:position w:val="0"/>
        </w:rPr>
        <w:t xml:space="preserve"> перечень мероприятий по обеспечению пожарной безопасности;</w:t>
      </w:r>
    </w:p>
    <w:p>
      <w:pPr>
        <w:pStyle w:val="Style5"/>
        <w:numPr>
          <w:ilvl w:val="0"/>
          <w:numId w:val="7"/>
        </w:numPr>
        <w:tabs>
          <w:tab w:leader="none" w:pos="3558" w:val="left"/>
          <w:tab w:leader="none" w:pos="6578" w:val="left"/>
        </w:tabs>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 xml:space="preserve">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w:t>
        <w:tab/>
        <w:t>коммунально-бытового</w:t>
        <w:tab/>
        <w:t>назначения, объектам</w:t>
      </w:r>
    </w:p>
    <w:p>
      <w:pPr>
        <w:pStyle w:val="Style5"/>
        <w:widowControl w:val="0"/>
        <w:keepNext w:val="0"/>
        <w:keepLines w:val="0"/>
        <w:shd w:val="clear" w:color="auto" w:fill="auto"/>
        <w:bidi w:val="0"/>
        <w:jc w:val="both"/>
        <w:spacing w:before="0" w:after="0" w:line="288" w:lineRule="exact"/>
        <w:ind w:left="40" w:right="20" w:firstLine="0"/>
      </w:pPr>
      <w:r>
        <w:rPr>
          <w:lang w:val="ru-RU" w:eastAsia="ru-RU" w:bidi="ru-RU"/>
          <w:sz w:val="24"/>
          <w:szCs w:val="24"/>
          <w:w w:val="100"/>
          <w:spacing w:val="0"/>
          <w:color w:val="000000"/>
          <w:position w:val="0"/>
        </w:rPr>
        <w:t>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подготовки проектной документации для строительства, реконструкции, капитального ремонта таких объектов);</w:t>
      </w:r>
    </w:p>
    <w:p>
      <w:pPr>
        <w:pStyle w:val="Style5"/>
        <w:numPr>
          <w:ilvl w:val="1"/>
          <w:numId w:val="7"/>
        </w:numPr>
        <w:tabs>
          <w:tab w:leader="none" w:pos="1523" w:val="left"/>
        </w:tabs>
        <w:widowControl w:val="0"/>
        <w:keepNext w:val="0"/>
        <w:keepLines w:val="0"/>
        <w:shd w:val="clear" w:color="auto" w:fill="auto"/>
        <w:bidi w:val="0"/>
        <w:jc w:val="both"/>
        <w:spacing w:before="0" w:after="0" w:line="288" w:lineRule="exact"/>
        <w:ind w:left="40" w:right="20" w:firstLine="700"/>
      </w:pPr>
      <w:r>
        <w:rPr>
          <w:lang w:val="ru-RU" w:eastAsia="ru-RU" w:bidi="ru-RU"/>
          <w:sz w:val="24"/>
          <w:szCs w:val="24"/>
          <w:w w:val="100"/>
          <w:spacing w:val="0"/>
          <w:color w:val="000000"/>
          <w:position w:val="0"/>
        </w:rPr>
        <w:t>требования к обеспечению безопасной эксплуатации объектов капитального строительства;</w:t>
      </w:r>
    </w:p>
    <w:p>
      <w:pPr>
        <w:pStyle w:val="Style5"/>
        <w:numPr>
          <w:ilvl w:val="0"/>
          <w:numId w:val="7"/>
        </w:numPr>
        <w:widowControl w:val="0"/>
        <w:keepNext w:val="0"/>
        <w:keepLines w:val="0"/>
        <w:shd w:val="clear" w:color="auto" w:fill="auto"/>
        <w:bidi w:val="0"/>
        <w:jc w:val="both"/>
        <w:spacing w:before="0" w:after="0"/>
        <w:ind w:left="40" w:right="20" w:firstLine="700"/>
      </w:pPr>
      <w:r>
        <w:rPr>
          <w:lang w:val="ru-RU" w:eastAsia="ru-RU" w:bidi="ru-RU"/>
          <w:sz w:val="24"/>
          <w:szCs w:val="24"/>
          <w:w w:val="100"/>
          <w:spacing w:val="0"/>
          <w:color w:val="000000"/>
          <w:position w:val="0"/>
        </w:rPr>
        <w:t xml:space="preserve"> смета на строительство, реконструкцию, капитальный ремонт, снос объектов капитального строительства, проведение работ по сохранению объектов культурного наследия, финансируемые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w:t>
      </w:r>
    </w:p>
    <w:p>
      <w:pPr>
        <w:pStyle w:val="Style5"/>
        <w:numPr>
          <w:ilvl w:val="1"/>
          <w:numId w:val="7"/>
        </w:numPr>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w:t>
      </w:r>
    </w:p>
    <w:p>
      <w:pPr>
        <w:pStyle w:val="Style5"/>
        <w:numPr>
          <w:ilvl w:val="1"/>
          <w:numId w:val="7"/>
        </w:numPr>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 сведения о нормативной периодичности выполнения работ по капитальному ремонту многоквартирного дома, необходимых для обеспечения безопасной эксплуатации такого дома, об объеме и о составе указанных работ (в случае подготовки проектной документации для строительства, реконструкции многоквартирного дома);</w:t>
      </w:r>
    </w:p>
    <w:p>
      <w:pPr>
        <w:pStyle w:val="Style5"/>
        <w:numPr>
          <w:ilvl w:val="0"/>
          <w:numId w:val="7"/>
        </w:numPr>
        <w:tabs>
          <w:tab w:leader="none" w:pos="1326" w:val="left"/>
        </w:tabs>
        <w:widowControl w:val="0"/>
        <w:keepNext w:val="0"/>
        <w:keepLines w:val="0"/>
        <w:shd w:val="clear" w:color="auto" w:fill="auto"/>
        <w:bidi w:val="0"/>
        <w:jc w:val="both"/>
        <w:spacing w:before="0" w:after="0" w:line="269" w:lineRule="exact"/>
        <w:ind w:left="20" w:right="20" w:firstLine="720"/>
      </w:pPr>
      <w:r>
        <w:rPr>
          <w:lang w:val="ru-RU" w:eastAsia="ru-RU" w:bidi="ru-RU"/>
          <w:sz w:val="24"/>
          <w:szCs w:val="24"/>
          <w:w w:val="100"/>
          <w:spacing w:val="0"/>
          <w:color w:val="000000"/>
          <w:position w:val="0"/>
        </w:rPr>
        <w:t>иная документация в случаях, предусмотренных федеральными законами.</w:t>
      </w:r>
    </w:p>
    <w:p>
      <w:pPr>
        <w:pStyle w:val="Style5"/>
        <w:widowControl w:val="0"/>
        <w:keepNext w:val="0"/>
        <w:keepLines w:val="0"/>
        <w:shd w:val="clear" w:color="auto" w:fill="auto"/>
        <w:bidi w:val="0"/>
        <w:jc w:val="both"/>
        <w:spacing w:before="0" w:after="0" w:line="288" w:lineRule="exact"/>
        <w:ind w:left="20" w:right="20" w:firstLine="720"/>
      </w:pPr>
      <w:r>
        <w:rPr>
          <w:lang w:val="ru-RU" w:eastAsia="ru-RU" w:bidi="ru-RU"/>
          <w:sz w:val="24"/>
          <w:szCs w:val="24"/>
          <w:w w:val="100"/>
          <w:spacing w:val="0"/>
          <w:color w:val="000000"/>
          <w:position w:val="0"/>
        </w:rPr>
        <w:t>Комиссия отмечает, что проектная документация определяет объем, содержание работ и другие предъявляемые к ним требования.</w:t>
      </w:r>
    </w:p>
    <w:p>
      <w:pPr>
        <w:pStyle w:val="Style5"/>
        <w:widowControl w:val="0"/>
        <w:keepNext w:val="0"/>
        <w:keepLines w:val="0"/>
        <w:shd w:val="clear" w:color="auto" w:fill="auto"/>
        <w:bidi w:val="0"/>
        <w:jc w:val="both"/>
        <w:spacing w:before="0" w:after="0" w:line="288" w:lineRule="exact"/>
        <w:ind w:left="20" w:right="20" w:firstLine="720"/>
      </w:pPr>
      <w:r>
        <w:rPr>
          <w:lang w:val="ru-RU" w:eastAsia="ru-RU" w:bidi="ru-RU"/>
          <w:sz w:val="24"/>
          <w:szCs w:val="24"/>
          <w:w w:val="100"/>
          <w:spacing w:val="0"/>
          <w:color w:val="000000"/>
          <w:position w:val="0"/>
        </w:rPr>
        <w:t>Таким образом, строительство, реконструкция, капитальный ремонт объекта капитального строительства осуществляется на основании проектной документации, которая содержит показатели, позволяющие определить соответствие закупаемых работ установленным заказчиком требованиям, потребностям заказчика. Обязательной частью проектной документации являются сметы.</w:t>
      </w:r>
    </w:p>
    <w:p>
      <w:pPr>
        <w:pStyle w:val="Style5"/>
        <w:widowControl w:val="0"/>
        <w:keepNext w:val="0"/>
        <w:keepLines w:val="0"/>
        <w:shd w:val="clear" w:color="auto" w:fill="auto"/>
        <w:bidi w:val="0"/>
        <w:jc w:val="both"/>
        <w:spacing w:before="0" w:after="0" w:line="288" w:lineRule="exact"/>
        <w:ind w:left="20" w:right="20" w:firstLine="720"/>
      </w:pPr>
      <w:r>
        <w:rPr>
          <w:lang w:val="ru-RU" w:eastAsia="ru-RU" w:bidi="ru-RU"/>
          <w:sz w:val="24"/>
          <w:szCs w:val="24"/>
          <w:w w:val="100"/>
          <w:spacing w:val="0"/>
          <w:color w:val="000000"/>
          <w:position w:val="0"/>
        </w:rPr>
        <w:t>С учетом вышеизложенного в качестве проекта сметы контракта представлены размещенные в ЕИС в составе проектной документации локальный сметный расчет на выполнение работ.</w:t>
      </w:r>
    </w:p>
    <w:p>
      <w:pPr>
        <w:pStyle w:val="Style5"/>
        <w:widowControl w:val="0"/>
        <w:keepNext w:val="0"/>
        <w:keepLines w:val="0"/>
        <w:shd w:val="clear" w:color="auto" w:fill="auto"/>
        <w:bidi w:val="0"/>
        <w:jc w:val="both"/>
        <w:spacing w:before="0" w:after="0" w:line="288" w:lineRule="exact"/>
        <w:ind w:left="20" w:right="20" w:firstLine="720"/>
      </w:pPr>
      <w:r>
        <w:rPr>
          <w:lang w:val="ru-RU" w:eastAsia="ru-RU" w:bidi="ru-RU"/>
          <w:sz w:val="24"/>
          <w:szCs w:val="24"/>
          <w:w w:val="100"/>
          <w:spacing w:val="0"/>
          <w:color w:val="000000"/>
          <w:position w:val="0"/>
        </w:rPr>
        <w:t>На заседании Комиссии установлено, что в ЕИС размещена документация о закупке, в том числе локальный сметный расчет на выполнение работ, что не противоречит законодательству о контрактной системе.</w:t>
      </w:r>
    </w:p>
    <w:p>
      <w:pPr>
        <w:pStyle w:val="Style5"/>
        <w:widowControl w:val="0"/>
        <w:keepNext w:val="0"/>
        <w:keepLines w:val="0"/>
        <w:shd w:val="clear" w:color="auto" w:fill="auto"/>
        <w:bidi w:val="0"/>
        <w:jc w:val="both"/>
        <w:spacing w:before="0" w:after="0" w:line="288" w:lineRule="exact"/>
        <w:ind w:left="20" w:right="20" w:firstLine="720"/>
      </w:pPr>
      <w:r>
        <w:rPr>
          <w:lang w:val="ru-RU" w:eastAsia="ru-RU" w:bidi="ru-RU"/>
          <w:sz w:val="24"/>
          <w:szCs w:val="24"/>
          <w:w w:val="100"/>
          <w:spacing w:val="0"/>
          <w:color w:val="000000"/>
          <w:position w:val="0"/>
        </w:rPr>
        <w:t>Представитель Заказчика на заседании Комиссии пояснил, что в ЕИС в полном объеме размещена документация о закупке, в том числе сметы на строительство, что не противоречит законодательству о контрактной системе, в связи с чем указанный довод Заявителя не нашел своего подтверждения.</w:t>
      </w:r>
    </w:p>
    <w:p>
      <w:pPr>
        <w:pStyle w:val="Style5"/>
        <w:widowControl w:val="0"/>
        <w:keepNext w:val="0"/>
        <w:keepLines w:val="0"/>
        <w:shd w:val="clear" w:color="auto" w:fill="auto"/>
        <w:bidi w:val="0"/>
        <w:jc w:val="both"/>
        <w:spacing w:before="0" w:after="0" w:line="288" w:lineRule="exact"/>
        <w:ind w:left="20" w:right="20" w:firstLine="720"/>
      </w:pPr>
      <w:r>
        <w:rPr>
          <w:lang w:val="ru-RU" w:eastAsia="ru-RU" w:bidi="ru-RU"/>
          <w:sz w:val="24"/>
          <w:szCs w:val="24"/>
          <w:w w:val="100"/>
          <w:spacing w:val="0"/>
          <w:color w:val="000000"/>
          <w:position w:val="0"/>
        </w:rPr>
        <w:t>Таким образом, на основании вышеизложенного и, руководствуясь пунктом статьей 105 Закона, пунктом 3.16 Административного регламента, Комиссия</w:t>
      </w:r>
    </w:p>
    <w:p>
      <w:pPr>
        <w:pStyle w:val="Style19"/>
        <w:widowControl w:val="0"/>
        <w:keepNext w:val="0"/>
        <w:keepLines w:val="0"/>
        <w:shd w:val="clear" w:color="auto" w:fill="auto"/>
        <w:bidi w:val="0"/>
        <w:jc w:val="left"/>
        <w:spacing w:before="0" w:after="2" w:line="220" w:lineRule="exact"/>
        <w:ind w:left="4280" w:right="0" w:firstLine="0"/>
      </w:pPr>
      <w:r>
        <w:rPr>
          <w:lang w:val="ru-RU" w:eastAsia="ru-RU" w:bidi="ru-RU"/>
          <w:w w:val="100"/>
          <w:color w:val="000000"/>
          <w:position w:val="0"/>
        </w:rPr>
        <w:t>РЕШИЛА:</w:t>
      </w:r>
    </w:p>
    <w:p>
      <w:pPr>
        <w:pStyle w:val="Style5"/>
        <w:numPr>
          <w:ilvl w:val="0"/>
          <w:numId w:val="9"/>
        </w:numPr>
        <w:widowControl w:val="0"/>
        <w:keepNext w:val="0"/>
        <w:keepLines w:val="0"/>
        <w:shd w:val="clear" w:color="auto" w:fill="auto"/>
        <w:bidi w:val="0"/>
        <w:jc w:val="left"/>
        <w:spacing w:before="0" w:after="0" w:line="240" w:lineRule="exact"/>
        <w:ind w:left="580" w:right="0" w:firstLine="0"/>
      </w:pPr>
      <w:r>
        <w:rPr>
          <w:lang w:val="ru-RU" w:eastAsia="ru-RU" w:bidi="ru-RU"/>
          <w:sz w:val="24"/>
          <w:szCs w:val="24"/>
          <w:w w:val="100"/>
          <w:spacing w:val="0"/>
          <w:color w:val="000000"/>
          <w:position w:val="0"/>
        </w:rPr>
        <w:t xml:space="preserve"> Жалобу ООО «Джули» признать необоснованной.</w:t>
      </w:r>
    </w:p>
    <w:p>
      <w:pPr>
        <w:pStyle w:val="Style5"/>
        <w:numPr>
          <w:ilvl w:val="0"/>
          <w:numId w:val="9"/>
        </w:numPr>
        <w:widowControl w:val="0"/>
        <w:keepNext w:val="0"/>
        <w:keepLines w:val="0"/>
        <w:shd w:val="clear" w:color="auto" w:fill="auto"/>
        <w:bidi w:val="0"/>
        <w:jc w:val="left"/>
        <w:spacing w:before="0" w:after="0" w:line="240" w:lineRule="exact"/>
        <w:ind w:left="580" w:right="0" w:firstLine="0"/>
        <w:sectPr>
          <w:type w:val="continuous"/>
          <w:pgSz w:w="16838" w:h="23810"/>
          <w:pgMar w:top="4294" w:left="3890" w:right="3554" w:bottom="4836" w:header="0" w:footer="3" w:gutter="0"/>
          <w:rtlGutter w:val="0"/>
          <w:cols w:space="720"/>
          <w:noEndnote/>
          <w:docGrid w:linePitch="360"/>
        </w:sectPr>
      </w:pPr>
      <w:r>
        <w:rPr>
          <w:lang w:val="ru-RU" w:eastAsia="ru-RU" w:bidi="ru-RU"/>
          <w:sz w:val="24"/>
          <w:szCs w:val="24"/>
          <w:w w:val="100"/>
          <w:spacing w:val="0"/>
          <w:color w:val="000000"/>
          <w:position w:val="0"/>
        </w:rPr>
        <w:t xml:space="preserve"> Заказчику приостановление определения поставщика отменить.</w:t>
      </w:r>
    </w:p>
    <w:p>
      <w:pPr>
        <w:widowControl w:val="0"/>
        <w:spacing w:before="48" w:after="48"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302" w:line="240" w:lineRule="exact"/>
        <w:ind w:left="0" w:right="0" w:firstLine="0"/>
      </w:pPr>
      <w:r>
        <w:rPr>
          <w:lang w:val="ru-RU" w:eastAsia="ru-RU" w:bidi="ru-RU"/>
          <w:sz w:val="24"/>
          <w:szCs w:val="24"/>
          <w:w w:val="100"/>
          <w:spacing w:val="0"/>
          <w:color w:val="000000"/>
          <w:position w:val="0"/>
        </w:rPr>
        <w:t>Председатель Комиссии:</w:t>
      </w:r>
    </w:p>
    <w:p>
      <w:pPr>
        <w:pStyle w:val="Style5"/>
        <w:widowControl w:val="0"/>
        <w:keepNext w:val="0"/>
        <w:keepLines w:val="0"/>
        <w:shd w:val="clear" w:color="auto" w:fill="auto"/>
        <w:bidi w:val="0"/>
        <w:jc w:val="left"/>
        <w:spacing w:before="0" w:after="0" w:line="240" w:lineRule="exact"/>
        <w:ind w:left="0" w:right="0" w:firstLine="0"/>
        <w:sectPr>
          <w:type w:val="continuous"/>
          <w:pgSz w:w="16838" w:h="23810"/>
          <w:pgMar w:top="4987" w:left="3873" w:right="9854" w:bottom="4713" w:header="0" w:footer="3" w:gutter="0"/>
          <w:rtlGutter w:val="0"/>
          <w:cols w:space="720"/>
          <w:noEndnote/>
          <w:docGrid w:linePitch="360"/>
        </w:sectPr>
      </w:pPr>
      <w:r>
        <w:rPr>
          <w:lang w:val="ru-RU" w:eastAsia="ru-RU" w:bidi="ru-RU"/>
          <w:sz w:val="24"/>
          <w:szCs w:val="24"/>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before="38" w:after="38"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1"/>
        <w:widowControl w:val="0"/>
        <w:keepNext w:val="0"/>
        <w:keepLines w:val="0"/>
        <w:shd w:val="clear" w:color="auto" w:fill="auto"/>
        <w:bidi w:val="0"/>
        <w:jc w:val="left"/>
        <w:spacing w:before="0" w:after="188"/>
        <w:ind w:left="0" w:right="18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p>
      <w:pPr>
        <w:pStyle w:val="Style23"/>
        <w:widowControl w:val="0"/>
        <w:keepNext w:val="0"/>
        <w:keepLines w:val="0"/>
        <w:shd w:val="clear" w:color="auto" w:fill="auto"/>
        <w:bidi w:val="0"/>
        <w:jc w:val="left"/>
        <w:spacing w:before="0" w:after="0"/>
        <w:ind w:left="720" w:right="6500" w:firstLine="0"/>
      </w:pPr>
      <w:r>
        <w:rPr>
          <w:lang w:val="ru-RU" w:eastAsia="ru-RU" w:bidi="ru-RU"/>
          <w:w w:val="100"/>
          <w:spacing w:val="0"/>
          <w:color w:val="000000"/>
          <w:position w:val="0"/>
        </w:rPr>
        <w:t>Исп. Торшина Ольга Александровна Тел. 8(4862)73-16-32</w:t>
      </w:r>
    </w:p>
    <w:sectPr>
      <w:type w:val="continuous"/>
      <w:pgSz w:w="16838" w:h="23810"/>
      <w:pgMar w:top="4987" w:left="3446" w:right="3422" w:bottom="471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6"/>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7">
    <w:name w:val="Основной текст"/>
    <w:basedOn w:val="CharStyle6"/>
    <w:rPr>
      <w:lang w:val="ru-RU" w:eastAsia="ru-RU" w:bidi="ru-RU"/>
      <w:u w:val="single"/>
      <w:sz w:val="24"/>
      <w:szCs w:val="24"/>
      <w:w w:val="100"/>
      <w:spacing w:val="0"/>
      <w:color w:val="000000"/>
      <w:position w:val="0"/>
    </w:rPr>
  </w:style>
  <w:style w:type="character" w:customStyle="1" w:styleId="CharStyle8">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7"/>
    </w:rPr>
  </w:style>
  <w:style w:type="character" w:customStyle="1" w:styleId="CharStyle10">
    <w:name w:val="Основной текст (3)_"/>
    <w:basedOn w:val="DefaultParagraphFont"/>
    <w:link w:val="Style9"/>
    <w:rPr>
      <w:b/>
      <w:bCs/>
      <w:i w:val="0"/>
      <w:iCs w:val="0"/>
      <w:u w:val="none"/>
      <w:strike w:val="0"/>
      <w:smallCaps w:val="0"/>
      <w:rFonts w:ascii="Times New Roman" w:eastAsia="Times New Roman" w:hAnsi="Times New Roman" w:cs="Times New Roman"/>
    </w:rPr>
  </w:style>
  <w:style w:type="character" w:customStyle="1" w:styleId="CharStyle12">
    <w:name w:val="Основной текст (4)_"/>
    <w:basedOn w:val="DefaultParagraphFont"/>
    <w:link w:val="Style11"/>
    <w:rPr>
      <w:b w:val="0"/>
      <w:bCs w:val="0"/>
      <w:i w:val="0"/>
      <w:iCs w:val="0"/>
      <w:u w:val="none"/>
      <w:strike w:val="0"/>
      <w:smallCaps w:val="0"/>
      <w:sz w:val="16"/>
      <w:szCs w:val="16"/>
      <w:rFonts w:ascii="Times New Roman" w:eastAsia="Times New Roman" w:hAnsi="Times New Roman" w:cs="Times New Roman"/>
    </w:rPr>
  </w:style>
  <w:style w:type="character" w:customStyle="1" w:styleId="CharStyle13">
    <w:name w:val="Основной текст (2) Exact"/>
    <w:basedOn w:val="DefaultParagraphFont"/>
    <w:rPr>
      <w:b w:val="0"/>
      <w:bCs w:val="0"/>
      <w:i w:val="0"/>
      <w:iCs w:val="0"/>
      <w:u w:val="none"/>
      <w:strike w:val="0"/>
      <w:smallCaps w:val="0"/>
      <w:sz w:val="21"/>
      <w:szCs w:val="21"/>
      <w:rFonts w:ascii="Times New Roman" w:eastAsia="Times New Roman" w:hAnsi="Times New Roman" w:cs="Times New Roman"/>
      <w:spacing w:val="5"/>
    </w:rPr>
  </w:style>
  <w:style w:type="character" w:customStyle="1" w:styleId="CharStyle14">
    <w:name w:val="Основной текст + Интервал 3 pt"/>
    <w:basedOn w:val="CharStyle6"/>
    <w:rPr>
      <w:lang w:val="ru-RU" w:eastAsia="ru-RU" w:bidi="ru-RU"/>
      <w:sz w:val="24"/>
      <w:szCs w:val="24"/>
      <w:w w:val="100"/>
      <w:spacing w:val="70"/>
      <w:color w:val="000000"/>
      <w:position w:val="0"/>
    </w:rPr>
  </w:style>
  <w:style w:type="character" w:customStyle="1" w:styleId="CharStyle15">
    <w:name w:val="Основной текст + Полужирный"/>
    <w:basedOn w:val="CharStyle6"/>
    <w:rPr>
      <w:lang w:val="en-US" w:eastAsia="en-US" w:bidi="en-US"/>
      <w:b/>
      <w:bCs/>
      <w:sz w:val="24"/>
      <w:szCs w:val="24"/>
      <w:w w:val="100"/>
      <w:spacing w:val="0"/>
      <w:color w:val="000000"/>
      <w:position w:val="0"/>
    </w:rPr>
  </w:style>
  <w:style w:type="character" w:customStyle="1" w:styleId="CharStyle16">
    <w:name w:val="Основной текст + 8,5 pt"/>
    <w:basedOn w:val="CharStyle6"/>
    <w:rPr>
      <w:lang w:val="ru-RU" w:eastAsia="ru-RU" w:bidi="ru-RU"/>
      <w:u w:val="single"/>
      <w:sz w:val="17"/>
      <w:szCs w:val="17"/>
      <w:w w:val="100"/>
      <w:spacing w:val="0"/>
      <w:color w:val="000000"/>
      <w:position w:val="0"/>
    </w:rPr>
  </w:style>
  <w:style w:type="character" w:customStyle="1" w:styleId="CharStyle17">
    <w:name w:val="Основной текст + 8,5 pt"/>
    <w:basedOn w:val="CharStyle6"/>
    <w:rPr>
      <w:lang w:val="ru-RU" w:eastAsia="ru-RU" w:bidi="ru-RU"/>
      <w:u w:val="single"/>
      <w:sz w:val="17"/>
      <w:szCs w:val="17"/>
      <w:w w:val="100"/>
      <w:spacing w:val="0"/>
      <w:color w:val="000000"/>
      <w:position w:val="0"/>
    </w:rPr>
  </w:style>
  <w:style w:type="character" w:customStyle="1" w:styleId="CharStyle18">
    <w:name w:val="Основной текст + Курсив"/>
    <w:basedOn w:val="CharStyle6"/>
    <w:rPr>
      <w:lang w:val="ru-RU" w:eastAsia="ru-RU" w:bidi="ru-RU"/>
      <w:i/>
      <w:iCs/>
      <w:u w:val="single"/>
      <w:sz w:val="24"/>
      <w:szCs w:val="24"/>
      <w:w w:val="100"/>
      <w:spacing w:val="0"/>
      <w:color w:val="000000"/>
      <w:position w:val="0"/>
    </w:rPr>
  </w:style>
  <w:style w:type="character" w:customStyle="1" w:styleId="CharStyle20">
    <w:name w:val="Основной текст (5)_"/>
    <w:basedOn w:val="DefaultParagraphFont"/>
    <w:link w:val="Style19"/>
    <w:rPr>
      <w:b w:val="0"/>
      <w:bCs w:val="0"/>
      <w:i w:val="0"/>
      <w:iCs w:val="0"/>
      <w:u w:val="none"/>
      <w:strike w:val="0"/>
      <w:smallCaps w:val="0"/>
      <w:sz w:val="22"/>
      <w:szCs w:val="22"/>
      <w:rFonts w:ascii="Times New Roman" w:eastAsia="Times New Roman" w:hAnsi="Times New Roman" w:cs="Times New Roman"/>
      <w:spacing w:val="60"/>
    </w:rPr>
  </w:style>
  <w:style w:type="character" w:customStyle="1" w:styleId="CharStyle22">
    <w:name w:val="Основной текст (6)_"/>
    <w:basedOn w:val="DefaultParagraphFont"/>
    <w:link w:val="Style21"/>
    <w:rPr>
      <w:b w:val="0"/>
      <w:bCs w:val="0"/>
      <w:i w:val="0"/>
      <w:iCs w:val="0"/>
      <w:u w:val="none"/>
      <w:strike w:val="0"/>
      <w:smallCaps w:val="0"/>
      <w:sz w:val="18"/>
      <w:szCs w:val="18"/>
      <w:rFonts w:ascii="Times New Roman" w:eastAsia="Times New Roman" w:hAnsi="Times New Roman" w:cs="Times New Roman"/>
    </w:rPr>
  </w:style>
  <w:style w:type="character" w:customStyle="1" w:styleId="CharStyle24">
    <w:name w:val="Основной текст (7)_"/>
    <w:basedOn w:val="DefaultParagraphFont"/>
    <w:link w:val="Style23"/>
    <w:rPr>
      <w:b w:val="0"/>
      <w:bCs w:val="0"/>
      <w:i/>
      <w:iCs/>
      <w:u w:val="none"/>
      <w:strike w:val="0"/>
      <w:smallCaps w:val="0"/>
      <w:sz w:val="17"/>
      <w:szCs w:val="17"/>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60" w:line="25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right"/>
      <w:spacing w:line="278" w:lineRule="exact"/>
    </w:pPr>
    <w:rPr>
      <w:b w:val="0"/>
      <w:bCs w:val="0"/>
      <w:i w:val="0"/>
      <w:iCs w:val="0"/>
      <w:u w:val="none"/>
      <w:strike w:val="0"/>
      <w:smallCaps w:val="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after="60" w:line="307" w:lineRule="exact"/>
    </w:pPr>
    <w:rPr>
      <w:b/>
      <w:bCs/>
      <w:i w:val="0"/>
      <w:iCs w:val="0"/>
      <w:u w:val="none"/>
      <w:strike w:val="0"/>
      <w:smallCaps w:val="0"/>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before="60" w:after="240" w:line="19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spacing w:after="60" w:line="0" w:lineRule="exact"/>
    </w:pPr>
    <w:rPr>
      <w:b w:val="0"/>
      <w:bCs w:val="0"/>
      <w:i w:val="0"/>
      <w:iCs w:val="0"/>
      <w:u w:val="none"/>
      <w:strike w:val="0"/>
      <w:smallCaps w:val="0"/>
      <w:sz w:val="22"/>
      <w:szCs w:val="22"/>
      <w:rFonts w:ascii="Times New Roman" w:eastAsia="Times New Roman" w:hAnsi="Times New Roman" w:cs="Times New Roman"/>
      <w:spacing w:val="60"/>
    </w:rPr>
  </w:style>
  <w:style w:type="paragraph" w:customStyle="1" w:styleId="Style21">
    <w:name w:val="Основной текст (6)"/>
    <w:basedOn w:val="Normal"/>
    <w:link w:val="CharStyle22"/>
    <w:pPr>
      <w:widowControl w:val="0"/>
      <w:shd w:val="clear" w:color="auto" w:fill="FFFFFF"/>
      <w:spacing w:after="180" w:line="206" w:lineRule="exact"/>
      <w:ind w:firstLine="700"/>
    </w:pPr>
    <w:rPr>
      <w:b w:val="0"/>
      <w:bCs w:val="0"/>
      <w:i w:val="0"/>
      <w:iCs w:val="0"/>
      <w:u w:val="none"/>
      <w:strike w:val="0"/>
      <w:smallCaps w:val="0"/>
      <w:sz w:val="18"/>
      <w:szCs w:val="18"/>
      <w:rFonts w:ascii="Times New Roman" w:eastAsia="Times New Roman" w:hAnsi="Times New Roman" w:cs="Times New Roman"/>
    </w:rPr>
  </w:style>
  <w:style w:type="paragraph" w:customStyle="1" w:styleId="Style23">
    <w:name w:val="Основной текст (7)"/>
    <w:basedOn w:val="Normal"/>
    <w:link w:val="CharStyle24"/>
    <w:pPr>
      <w:widowControl w:val="0"/>
      <w:shd w:val="clear" w:color="auto" w:fill="FFFFFF"/>
      <w:spacing w:before="180" w:line="197" w:lineRule="exact"/>
    </w:pPr>
    <w:rPr>
      <w:b w:val="0"/>
      <w:bCs w:val="0"/>
      <w:i/>
      <w:iCs/>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