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368" w:h="470" w:wrap="around" w:vAnchor="text" w:hAnchor="margin" w:x="364" w:y="960"/>
        <w:widowControl w:val="0"/>
        <w:keepNext w:val="0"/>
        <w:keepLines w:val="0"/>
        <w:shd w:val="clear" w:color="auto" w:fill="auto"/>
        <w:bidi w:val="0"/>
        <w:spacing w:before="0" w:after="0"/>
        <w:ind w:left="0" w:right="40" w:firstLine="0"/>
      </w:pPr>
      <w:r>
        <w:rPr>
          <w:rStyle w:val="CharStyle5"/>
          <w:b/>
          <w:bCs/>
          <w:spacing w:val="0"/>
        </w:rPr>
        <w:t>ФЕДЕРАЛЬНАЯ АНТИМОНОПОЛЬНАЯ СЛУЖБА</w:t>
      </w:r>
    </w:p>
    <w:p>
      <w:pPr>
        <w:widowControl w:val="0"/>
        <w:rPr>
          <w:sz w:val="2"/>
          <w:szCs w:val="2"/>
        </w:rPr>
      </w:pPr>
    </w:p>
    <w:p>
      <w:pPr>
        <w:pStyle w:val="Style6"/>
        <w:widowControl w:val="0"/>
        <w:keepNext w:val="0"/>
        <w:keepLines w:val="0"/>
        <w:shd w:val="clear" w:color="auto" w:fill="auto"/>
        <w:bidi w:val="0"/>
        <w:spacing w:before="0" w:after="257"/>
        <w:ind w:left="0" w:right="20" w:firstLine="0"/>
      </w:pPr>
      <w:r>
        <w:rPr>
          <w:rStyle w:val="CharStyle8"/>
        </w:rPr>
        <w:t xml:space="preserve">Мясницкий проезд, д.4, стр. 1 107078, г. Москва, тел. (495) 784-75-05, факс (495) 607-49-29 факс (495) 607-42-92, </w:t>
      </w:r>
      <w:r>
        <w:rPr>
          <w:rStyle w:val="CharStyle9"/>
        </w:rPr>
        <w:t>e-mail: to77@,fas.gov.ru</w:t>
      </w:r>
    </w:p>
    <w:p>
      <w:pPr>
        <w:pStyle w:val="Style10"/>
        <w:tabs>
          <w:tab w:leader="underscore" w:pos="3934" w:val="left"/>
        </w:tabs>
        <w:widowControl w:val="0"/>
        <w:keepNext w:val="0"/>
        <w:keepLines w:val="0"/>
        <w:shd w:val="clear" w:color="auto" w:fill="auto"/>
        <w:bidi w:val="0"/>
        <w:spacing w:before="0" w:after="190" w:line="200" w:lineRule="exact"/>
        <w:ind w:left="80" w:right="0" w:firstLine="0"/>
      </w:pPr>
      <w:r>
        <w:rPr>
          <w:rStyle w:val="CharStyle12"/>
        </w:rPr>
        <w:t xml:space="preserve">  №</w:t>
        <w:tab/>
      </w:r>
    </w:p>
    <w:p>
      <w:pPr>
        <w:pStyle w:val="Style6"/>
        <w:tabs>
          <w:tab w:leader="none" w:pos="1987" w:val="left"/>
        </w:tabs>
        <w:widowControl w:val="0"/>
        <w:keepNext w:val="0"/>
        <w:keepLines w:val="0"/>
        <w:shd w:val="clear" w:color="auto" w:fill="auto"/>
        <w:bidi w:val="0"/>
        <w:jc w:val="both"/>
        <w:spacing w:before="0" w:after="0" w:line="180" w:lineRule="exact"/>
        <w:ind w:left="0" w:right="0" w:firstLine="0"/>
      </w:pPr>
      <w:r>
        <w:rPr>
          <w:rStyle w:val="CharStyle8"/>
        </w:rPr>
        <w:t>На №</w:t>
        <w:tab/>
        <w:t>от</w:t>
      </w:r>
    </w:p>
    <w:p>
      <w:pPr>
        <w:pStyle w:val="Style1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ГБУ «Ритуал»</w:t>
      </w:r>
    </w:p>
    <w:p>
      <w:pPr>
        <w:pStyle w:val="Style13"/>
        <w:widowControl w:val="0"/>
        <w:keepNext w:val="0"/>
        <w:keepLines w:val="0"/>
        <w:shd w:val="clear" w:color="auto" w:fill="auto"/>
        <w:bidi w:val="0"/>
        <w:spacing w:before="0" w:after="0"/>
        <w:ind w:left="0" w:right="180" w:firstLine="0"/>
      </w:pPr>
      <w:r>
        <w:rPr>
          <w:lang w:val="ru-RU" w:eastAsia="ru-RU" w:bidi="ru-RU"/>
          <w:w w:val="100"/>
          <w:spacing w:val="0"/>
          <w:color w:val="000000"/>
          <w:position w:val="0"/>
        </w:rPr>
        <w:t>ул. Песчаная, д. 3, г. Москва, 125057 ИП Федянина Н.В.</w:t>
      </w:r>
    </w:p>
    <w:p>
      <w:pPr>
        <w:pStyle w:val="Style1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ш. Можайское, д 122, кв. 214,</w:t>
      </w:r>
    </w:p>
    <w:p>
      <w:pPr>
        <w:pStyle w:val="Style13"/>
        <w:widowControl w:val="0"/>
        <w:keepNext w:val="0"/>
        <w:keepLines w:val="0"/>
        <w:shd w:val="clear" w:color="auto" w:fill="auto"/>
        <w:bidi w:val="0"/>
        <w:spacing w:before="0" w:after="299" w:line="260" w:lineRule="exact"/>
        <w:ind w:left="0" w:right="0" w:firstLine="0"/>
      </w:pPr>
      <w:r>
        <w:rPr>
          <w:lang w:val="ru-RU" w:eastAsia="ru-RU" w:bidi="ru-RU"/>
          <w:w w:val="100"/>
          <w:spacing w:val="0"/>
          <w:color w:val="000000"/>
          <w:position w:val="0"/>
        </w:rPr>
        <w:t>г. Одинцово, Московская обл., 143005</w:t>
      </w:r>
    </w:p>
    <w:p>
      <w:pPr>
        <w:pStyle w:val="Style13"/>
        <w:widowControl w:val="0"/>
        <w:keepNext w:val="0"/>
        <w:keepLines w:val="0"/>
        <w:shd w:val="clear" w:color="auto" w:fill="auto"/>
        <w:bidi w:val="0"/>
        <w:spacing w:before="0" w:after="293" w:line="326" w:lineRule="exact"/>
        <w:ind w:left="0" w:right="20" w:firstLine="0"/>
      </w:pPr>
      <w:r>
        <w:rPr>
          <w:lang w:val="ru-RU" w:eastAsia="ru-RU" w:bidi="ru-RU"/>
          <w:w w:val="100"/>
          <w:spacing w:val="0"/>
          <w:color w:val="000000"/>
          <w:position w:val="0"/>
        </w:rPr>
        <w:t>ГУП «Агенство по государственному заказу РТ»</w:t>
      </w:r>
    </w:p>
    <w:p>
      <w:pPr>
        <w:pStyle w:val="Style1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420021, РТ, г. Казань, ул. Московская,</w:t>
      </w:r>
    </w:p>
    <w:p>
      <w:pPr>
        <w:pStyle w:val="Style13"/>
        <w:widowControl w:val="0"/>
        <w:keepNext w:val="0"/>
        <w:keepLines w:val="0"/>
        <w:shd w:val="clear" w:color="auto" w:fill="auto"/>
        <w:bidi w:val="0"/>
        <w:spacing w:before="0" w:after="0" w:line="260" w:lineRule="exact"/>
        <w:ind w:left="0" w:right="0" w:firstLine="0"/>
        <w:sectPr>
          <w:footnotePr>
            <w:pos w:val="pageBottom"/>
            <w:numFmt w:val="decimal"/>
            <w:numRestart w:val="continuous"/>
          </w:footnotePr>
          <w:type w:val="continuous"/>
          <w:pgSz w:w="11906" w:h="16838"/>
          <w:pgMar w:top="1107" w:left="881" w:right="1255" w:bottom="665" w:header="0" w:footer="3" w:gutter="0"/>
          <w:rtlGutter w:val="0"/>
          <w:cols w:num="2" w:space="720" w:equalWidth="0">
            <w:col w:w="3941" w:space="1325"/>
            <w:col w:w="4502"/>
          </w:cols>
          <w:noEndnote/>
          <w:docGrid w:linePitch="360"/>
        </w:sectPr>
      </w:pPr>
      <w:r>
        <w:rPr>
          <w:lang w:val="ru-RU" w:eastAsia="ru-RU" w:bidi="ru-RU"/>
          <w:w w:val="100"/>
          <w:spacing w:val="0"/>
          <w:color w:val="000000"/>
          <w:position w:val="0"/>
        </w:rPr>
        <w:t>д. 55</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1" w:after="2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tabs>
          <w:tab w:leader="none" w:pos="8545" w:val="right"/>
          <w:tab w:leader="none" w:pos="8718" w:val="left"/>
        </w:tabs>
        <w:widowControl w:val="0"/>
        <w:keepNext w:val="0"/>
        <w:keepLines w:val="0"/>
        <w:shd w:val="clear" w:color="auto" w:fill="auto"/>
        <w:bidi w:val="0"/>
        <w:jc w:val="left"/>
        <w:spacing w:before="0" w:after="0"/>
        <w:ind w:left="20" w:right="600"/>
      </w:pPr>
      <w:r>
        <w:rPr>
          <w:lang w:val="ru-RU" w:eastAsia="ru-RU" w:bidi="ru-RU"/>
          <w:w w:val="100"/>
          <w:spacing w:val="0"/>
          <w:color w:val="000000"/>
          <w:position w:val="0"/>
        </w:rPr>
        <w:t>РЕШЕНИЕ по делу № 077/06/106-2274/2021 о нарушении законодательства о контрактной системе 12.02.2021</w:t>
        <w:tab/>
        <w:t>г.</w:t>
        <w:tab/>
        <w:t>Москва</w:t>
      </w:r>
    </w:p>
    <w:p>
      <w:pPr>
        <w:pStyle w:val="Style13"/>
        <w:widowControl w:val="0"/>
        <w:keepNext w:val="0"/>
        <w:keepLines w:val="0"/>
        <w:shd w:val="clear" w:color="auto" w:fill="auto"/>
        <w:bidi w:val="0"/>
        <w:spacing w:before="0" w:after="0" w:line="317" w:lineRule="exact"/>
        <w:ind w:left="2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3"/>
        <w:widowControl w:val="0"/>
        <w:keepNext w:val="0"/>
        <w:keepLines w:val="0"/>
        <w:shd w:val="clear" w:color="auto" w:fill="auto"/>
        <w:bidi w:val="0"/>
        <w:spacing w:before="0" w:after="0" w:line="317"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13"/>
        <w:widowControl w:val="0"/>
        <w:keepNext w:val="0"/>
        <w:keepLines w:val="0"/>
        <w:shd w:val="clear" w:color="auto" w:fill="auto"/>
        <w:bidi w:val="0"/>
        <w:spacing w:before="0" w:after="0" w:line="317" w:lineRule="exact"/>
        <w:ind w:left="20" w:right="0" w:firstLine="680"/>
      </w:pPr>
      <w:r>
        <w:rPr>
          <w:lang w:val="ru-RU" w:eastAsia="ru-RU" w:bidi="ru-RU"/>
          <w:w w:val="100"/>
          <w:spacing w:val="0"/>
          <w:color w:val="000000"/>
          <w:position w:val="0"/>
        </w:rPr>
        <w:t>Членов Комиссии:</w:t>
      </w:r>
    </w:p>
    <w:p>
      <w:pPr>
        <w:pStyle w:val="Style13"/>
        <w:widowControl w:val="0"/>
        <w:keepNext w:val="0"/>
        <w:keepLines w:val="0"/>
        <w:shd w:val="clear" w:color="auto" w:fill="auto"/>
        <w:bidi w:val="0"/>
        <w:spacing w:before="0" w:after="0" w:line="317" w:lineRule="exact"/>
        <w:ind w:left="2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13"/>
        <w:tabs>
          <w:tab w:leader="none" w:pos="625" w:val="lef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Н.А. Узкого,</w:t>
      </w:r>
    </w:p>
    <w:p>
      <w:pPr>
        <w:pStyle w:val="Style13"/>
        <w:widowControl w:val="0"/>
        <w:keepNext w:val="0"/>
        <w:keepLines w:val="0"/>
        <w:shd w:val="clear" w:color="auto" w:fill="auto"/>
        <w:bidi w:val="0"/>
        <w:spacing w:before="0" w:after="0" w:line="317" w:lineRule="exact"/>
        <w:ind w:left="20" w:right="20" w:firstLine="680"/>
      </w:pPr>
      <w:r>
        <w:rPr>
          <w:lang w:val="ru-RU" w:eastAsia="ru-RU" w:bidi="ru-RU"/>
          <w:w w:val="100"/>
          <w:spacing w:val="0"/>
          <w:color w:val="000000"/>
          <w:position w:val="0"/>
        </w:rPr>
        <w:t>Специалиста 1 разряда отдела обжалования государственных закупок А.А. Матюшенко,</w:t>
      </w:r>
    </w:p>
    <w:p>
      <w:pPr>
        <w:pStyle w:val="Style13"/>
        <w:tabs>
          <w:tab w:leader="none" w:pos="610" w:val="left"/>
        </w:tabs>
        <w:widowControl w:val="0"/>
        <w:keepNext w:val="0"/>
        <w:keepLines w:val="0"/>
        <w:shd w:val="clear" w:color="auto" w:fill="auto"/>
        <w:bidi w:val="0"/>
        <w:spacing w:before="0" w:after="0" w:line="317"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13"/>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13"/>
        <w:widowControl w:val="0"/>
        <w:keepNext w:val="0"/>
        <w:keepLines w:val="0"/>
        <w:shd w:val="clear" w:color="auto" w:fill="auto"/>
        <w:bidi w:val="0"/>
        <w:jc w:val="left"/>
        <w:spacing w:before="0" w:after="237" w:line="317" w:lineRule="exact"/>
        <w:ind w:left="20" w:right="20" w:firstLine="680"/>
      </w:pPr>
      <w:r>
        <w:rPr>
          <w:lang w:val="ru-RU" w:eastAsia="ru-RU" w:bidi="ru-RU"/>
          <w:w w:val="100"/>
          <w:spacing w:val="0"/>
          <w:color w:val="000000"/>
          <w:position w:val="0"/>
        </w:rPr>
        <w:t>представитель ГБУ «Ритуал» участвовал посредством видеоконференцсвязи, в отсутствие представителей ИП Федянина Н.В., о времени и порядке заседания Комиссии Управления уведомлен надлежащим образом письмом Московского УФАС России от 09.02.2021 № ЕИ/7115/21,</w:t>
      </w:r>
    </w:p>
    <w:p>
      <w:pPr>
        <w:pStyle w:val="Style17"/>
        <w:widowControl w:val="0"/>
        <w:keepNext w:val="0"/>
        <w:keepLines w:val="0"/>
        <w:shd w:val="clear" w:color="auto" w:fill="auto"/>
        <w:bidi w:val="0"/>
        <w:jc w:val="left"/>
        <w:spacing w:before="0" w:after="0" w:line="240" w:lineRule="auto"/>
        <w:ind w:left="0" w:right="0" w:firstLine="0"/>
        <w:sectPr>
          <w:type w:val="continuous"/>
          <w:pgSz w:w="11906" w:h="16838"/>
          <w:pgMar w:top="1122" w:left="848" w:right="848" w:bottom="680" w:header="0" w:footer="3" w:gutter="0"/>
          <w:rtlGutter w:val="0"/>
          <w:cols w:space="720"/>
          <w:noEndnote/>
          <w:docGrid w:linePitch="360"/>
        </w:sectPr>
      </w:pPr>
      <w:r>
        <w:rPr>
          <w:w w:val="100"/>
          <w:spacing w:val="0"/>
          <w:color w:val="000000"/>
          <w:position w:val="0"/>
        </w:rPr>
        <w:t>001152978653</w:t>
      </w:r>
    </w:p>
    <w:p>
      <w:pPr>
        <w:pStyle w:val="Style13"/>
        <w:widowControl w:val="0"/>
        <w:keepNext w:val="0"/>
        <w:keepLines w:val="0"/>
        <w:shd w:val="clear" w:color="auto" w:fill="auto"/>
        <w:bidi w:val="0"/>
        <w:spacing w:before="0" w:after="349" w:line="322" w:lineRule="exact"/>
        <w:ind w:left="20" w:right="20" w:firstLine="700"/>
      </w:pPr>
      <w:r>
        <w:rPr>
          <w:lang w:val="ru-RU" w:eastAsia="ru-RU" w:bidi="ru-RU"/>
          <w:w w:val="100"/>
          <w:spacing w:val="0"/>
          <w:color w:val="000000"/>
          <w:position w:val="0"/>
        </w:rPr>
        <w:t>рассмотрев жалобу ИП Федянина Н.В. (далее — Заявитель) на действия ГБУ «Ритуал» (далее — Заказчик) при проведении электронного аукциона на право заключения государственного контракта на поставку материалов для монтажа системы водоотведения Миусского кладбища (Закупка № 0373200657321000006) (далее — Ау</w:t>
      </w:r>
      <w:r>
        <w:rPr>
          <w:rStyle w:val="CharStyle19"/>
        </w:rPr>
        <w:t>кци</w:t>
      </w:r>
      <w:r>
        <w:rPr>
          <w:lang w:val="ru-RU" w:eastAsia="ru-RU" w:bidi="ru-RU"/>
          <w:w w:val="100"/>
          <w:spacing w:val="0"/>
          <w:color w:val="000000"/>
          <w:position w:val="0"/>
        </w:rPr>
        <w:t>он), в соответствии со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2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1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1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ЕИ/7115/21 от 09.02.2021), Комиссия Управления установила следующее.</w:t>
      </w:r>
    </w:p>
    <w:p>
      <w:pPr>
        <w:pStyle w:val="Style13"/>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Заявитель обжалует неправомерный отказ в допуске к участию в Аукционе.</w:t>
      </w:r>
    </w:p>
    <w:p>
      <w:pPr>
        <w:pStyle w:val="Style1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1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протоколу рассмотрения заявок на участие в электронном аукционе от 04.02.2021 №0373200657321000006-1 заявка Заявителя с идентификационным номером 1538800 отклонена от участия в аукционе на следующем основании: «Несоответствие информации, предусмотренной частью 3 статьи 66 Федерального закона № 44-ФЗ, требованиям документации об аукционе (Отказ по п. 2 ч. 4 ст. 67 44-ФЗ). Несоответствие информации, предусмотренной частью 3 статьи 66 Федерального закона № 44-ФЗ, требованиям документации об аукционе (Отказ по п. 2 ч. 4 ст. 67 44-ФЗ)».</w:t>
      </w:r>
    </w:p>
    <w:p>
      <w:pPr>
        <w:pStyle w:val="Style13"/>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ч.1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ч.3 ст.66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3"/>
        <w:numPr>
          <w:ilvl w:val="0"/>
          <w:numId w:val="1"/>
        </w:numPr>
        <w:tabs>
          <w:tab w:leader="none" w:pos="1258" w:val="left"/>
        </w:tabs>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ст. 67 Закона о контрактной системе установлено, что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ч.4 ст. 67 Закона о контрактной системе.</w:t>
      </w:r>
    </w:p>
    <w:p>
      <w:pPr>
        <w:pStyle w:val="Style13"/>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силу ч.4 ст. 67 Закона о контрактной системе участник электронного аукциона не допускается к участию в нем в случае:</w:t>
      </w:r>
    </w:p>
    <w:p>
      <w:pPr>
        <w:pStyle w:val="Style13"/>
        <w:numPr>
          <w:ilvl w:val="0"/>
          <w:numId w:val="3"/>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непредоставления информации, предусмотренной ч.3 ст.66 Закона о контрактной системе, или предоставления недостоверной информации;</w:t>
      </w:r>
    </w:p>
    <w:p>
      <w:pPr>
        <w:pStyle w:val="Style13"/>
        <w:numPr>
          <w:ilvl w:val="0"/>
          <w:numId w:val="3"/>
        </w:numPr>
        <w:tabs>
          <w:tab w:leader="none" w:pos="8150" w:val="left"/>
        </w:tabs>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несоответствия информации, предусмотренной ч.3</w:t>
        <w:tab/>
        <w:t>ст.66 Закона о контрактной системе, требованиям документации о таком аукционе.</w:t>
      </w:r>
    </w:p>
    <w:p>
      <w:pPr>
        <w:pStyle w:val="Style13"/>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силу ч.6 ст.67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pPr>
        <w:pStyle w:val="Style13"/>
        <w:numPr>
          <w:ilvl w:val="0"/>
          <w:numId w:val="5"/>
        </w:numPr>
        <w:widowControl w:val="0"/>
        <w:keepNext w:val="0"/>
        <w:keepLines w:val="0"/>
        <w:shd w:val="clear" w:color="auto" w:fill="auto"/>
        <w:bidi w:val="0"/>
        <w:spacing w:before="0" w:after="0" w:line="317" w:lineRule="exact"/>
        <w:ind w:left="0" w:right="0" w:firstLine="700"/>
      </w:pPr>
      <w:r>
        <w:rPr>
          <w:lang w:val="ru-RU" w:eastAsia="ru-RU" w:bidi="ru-RU"/>
          <w:w w:val="100"/>
          <w:spacing w:val="0"/>
          <w:color w:val="000000"/>
          <w:position w:val="0"/>
        </w:rPr>
        <w:t xml:space="preserve"> об идентификационных номерах заявок на участие в таком аукционе;</w:t>
      </w:r>
    </w:p>
    <w:p>
      <w:pPr>
        <w:pStyle w:val="Style13"/>
        <w:numPr>
          <w:ilvl w:val="0"/>
          <w:numId w:val="5"/>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pPr>
        <w:pStyle w:val="Style13"/>
        <w:numPr>
          <w:ilvl w:val="0"/>
          <w:numId w:val="5"/>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pPr>
        <w:pStyle w:val="Style13"/>
        <w:numPr>
          <w:ilvl w:val="0"/>
          <w:numId w:val="5"/>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Закона о контрактной системе.</w:t>
      </w:r>
    </w:p>
    <w:p>
      <w:pPr>
        <w:pStyle w:val="Style13"/>
        <w:tabs>
          <w:tab w:leader="none" w:pos="10147" w:val="right"/>
        </w:tabs>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Вместе с тем, исходя из приведенных в протоколе рассмотрения заявок на участие в электронном аукционе от 04.02.2021</w:t>
        <w:tab/>
        <w:t>№0373200657321000006-1</w:t>
      </w:r>
    </w:p>
    <w:p>
      <w:pPr>
        <w:pStyle w:val="Style13"/>
        <w:widowControl w:val="0"/>
        <w:keepNext w:val="0"/>
        <w:keepLines w:val="0"/>
        <w:shd w:val="clear" w:color="auto" w:fill="auto"/>
        <w:bidi w:val="0"/>
        <w:spacing w:before="0" w:after="0" w:line="317" w:lineRule="exact"/>
        <w:ind w:left="0" w:right="20" w:firstLine="0"/>
      </w:pPr>
      <w:r>
        <w:rPr>
          <w:lang w:val="ru-RU" w:eastAsia="ru-RU" w:bidi="ru-RU"/>
          <w:w w:val="100"/>
          <w:spacing w:val="0"/>
          <w:color w:val="000000"/>
          <w:position w:val="0"/>
        </w:rPr>
        <w:t>формулировок, не представляется возможным определить точную причину отклонения заявки участника закупки, поскольку использованная Заказчиком формулировка представляет собой исключительно отсылку к положениям п. 1 ч. 4 ст. 67 Закона о контрактной системе без какого-либо ее применения в указанном конкретном случае, что нарушает п.2 ч.6 ст.67 Закона о контрактной системе, так как не конкретизировано: какая именно информация, предусмотренная</w:t>
      </w:r>
    </w:p>
    <w:p>
      <w:pPr>
        <w:pStyle w:val="Style13"/>
        <w:numPr>
          <w:ilvl w:val="0"/>
          <w:numId w:val="7"/>
        </w:numPr>
        <w:tabs>
          <w:tab w:leader="none" w:pos="1190" w:val="right"/>
          <w:tab w:leader="none" w:pos="1488" w:val="left"/>
          <w:tab w:leader="none" w:pos="634" w:val="left"/>
        </w:tabs>
        <w:widowControl w:val="0"/>
        <w:keepNext w:val="0"/>
        <w:keepLines w:val="0"/>
        <w:shd w:val="clear" w:color="auto" w:fill="auto"/>
        <w:bidi w:val="0"/>
        <w:spacing w:before="0" w:after="0" w:line="331" w:lineRule="exact"/>
        <w:ind w:left="0" w:right="0" w:firstLine="0"/>
      </w:pPr>
      <w:r>
        <w:rPr>
          <w:lang w:val="ru-RU" w:eastAsia="ru-RU" w:bidi="ru-RU"/>
          <w:w w:val="100"/>
          <w:spacing w:val="0"/>
          <w:color w:val="000000"/>
          <w:position w:val="0"/>
        </w:rPr>
        <w:t>ст.66</w:t>
        <w:tab/>
        <w:t>Закона о контрактной системе не представлена или является</w:t>
      </w:r>
    </w:p>
    <w:p>
      <w:pPr>
        <w:pStyle w:val="Style13"/>
        <w:widowControl w:val="0"/>
        <w:keepNext w:val="0"/>
        <w:keepLines w:val="0"/>
        <w:shd w:val="clear" w:color="auto" w:fill="auto"/>
        <w:bidi w:val="0"/>
        <w:spacing w:before="0" w:after="0" w:line="331" w:lineRule="exact"/>
        <w:ind w:left="0" w:right="0" w:firstLine="0"/>
      </w:pPr>
      <w:r>
        <w:rPr>
          <w:lang w:val="ru-RU" w:eastAsia="ru-RU" w:bidi="ru-RU"/>
          <w:w w:val="100"/>
          <w:spacing w:val="0"/>
          <w:color w:val="000000"/>
          <w:position w:val="0"/>
        </w:rPr>
        <w:t>недостоверной.</w:t>
      </w:r>
    </w:p>
    <w:p>
      <w:pPr>
        <w:pStyle w:val="Style13"/>
        <w:widowControl w:val="0"/>
        <w:keepNext w:val="0"/>
        <w:keepLines w:val="0"/>
        <w:shd w:val="clear" w:color="auto" w:fill="auto"/>
        <w:bidi w:val="0"/>
        <w:spacing w:before="0" w:after="0" w:line="331" w:lineRule="exact"/>
        <w:ind w:left="0" w:right="20" w:firstLine="70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 Кроме того, такая информация должна детально раскрывать причины отклонения поданной заявки с указанием на то, какие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13"/>
        <w:widowControl w:val="0"/>
        <w:keepNext w:val="0"/>
        <w:keepLines w:val="0"/>
        <w:shd w:val="clear" w:color="auto" w:fill="auto"/>
        <w:bidi w:val="0"/>
        <w:spacing w:before="0" w:after="0" w:line="331" w:lineRule="exact"/>
        <w:ind w:left="0" w:right="20" w:firstLine="700"/>
      </w:pPr>
      <w:r>
        <w:rPr>
          <w:lang w:val="ru-RU" w:eastAsia="ru-RU" w:bidi="ru-RU"/>
          <w:w w:val="100"/>
          <w:spacing w:val="0"/>
          <w:color w:val="000000"/>
          <w:position w:val="0"/>
        </w:rPr>
        <w:t>Названный правовой подход наиболее полно отвечает законодательно закрепленному принципу равенства участников гражданских правоотношений (ч. 1 ст. 1 Гражданского кодекса Российской Федерации (далее — ГК РФ), и данного подхода последовательно придерживаются арбитражные суды Московского округа, в частности по делам №№ А40-137048/12, А40-5013/14, А40-43124/14, А40- 219113/14.</w:t>
      </w:r>
    </w:p>
    <w:p>
      <w:pPr>
        <w:pStyle w:val="Style13"/>
        <w:widowControl w:val="0"/>
        <w:keepNext w:val="0"/>
        <w:keepLines w:val="0"/>
        <w:shd w:val="clear" w:color="auto" w:fill="auto"/>
        <w:bidi w:val="0"/>
        <w:spacing w:before="0" w:after="0" w:line="331" w:lineRule="exact"/>
        <w:ind w:left="0" w:right="20" w:firstLine="700"/>
      </w:pPr>
      <w:r>
        <w:rPr>
          <w:lang w:val="ru-RU" w:eastAsia="ru-RU" w:bidi="ru-RU"/>
          <w:w w:val="100"/>
          <w:spacing w:val="0"/>
          <w:color w:val="000000"/>
          <w:position w:val="0"/>
        </w:rPr>
        <w:t>В свою очередь отклонение заявок участников без обоснования конкретных причин такого отклонения изначально нельзя признать правомерным ввиду несоответствия таких действий целям обеспечения гласности и прозрачности осуществления закупок (ч. 1 ст. 1 Закона о контрактной системе), а также законодательно установленному запрету на злоупотребление правом (ч. 2 ст. 10 ГК РФ) и принципу недопустимости извлечения преимущества из своего незаконного или недобросовестного поведения (ч. 4 ст. 1 ГК РФ).</w:t>
      </w:r>
    </w:p>
    <w:p>
      <w:pPr>
        <w:pStyle w:val="Style13"/>
        <w:widowControl w:val="0"/>
        <w:keepNext w:val="0"/>
        <w:keepLines w:val="0"/>
        <w:shd w:val="clear" w:color="auto" w:fill="auto"/>
        <w:bidi w:val="0"/>
        <w:spacing w:before="0" w:after="0" w:line="331" w:lineRule="exact"/>
        <w:ind w:left="0" w:right="20" w:firstLine="700"/>
      </w:pPr>
      <w:r>
        <w:rPr>
          <w:lang w:val="ru-RU" w:eastAsia="ru-RU" w:bidi="ru-RU"/>
          <w:w w:val="100"/>
          <w:spacing w:val="0"/>
          <w:color w:val="000000"/>
          <w:position w:val="0"/>
        </w:rPr>
        <w:t>В соответствии с ч. 5 ст. 67 Закона о контрактной системе отказ в допуске к участию в электронном аукционе по основаниям, не предусмотренным ч. 4 ст. 67 Закона о контрактной системе, не допускается.</w:t>
      </w:r>
    </w:p>
    <w:p>
      <w:pPr>
        <w:pStyle w:val="Style13"/>
        <w:widowControl w:val="0"/>
        <w:keepNext w:val="0"/>
        <w:keepLines w:val="0"/>
        <w:shd w:val="clear" w:color="auto" w:fill="auto"/>
        <w:bidi w:val="0"/>
        <w:spacing w:before="0" w:after="0" w:line="331" w:lineRule="exact"/>
        <w:ind w:left="0" w:right="20" w:firstLine="700"/>
      </w:pPr>
      <w:r>
        <w:rPr>
          <w:lang w:val="ru-RU" w:eastAsia="ru-RU" w:bidi="ru-RU"/>
          <w:w w:val="100"/>
          <w:spacing w:val="0"/>
          <w:color w:val="000000"/>
          <w:position w:val="0"/>
        </w:rPr>
        <w:t>Таким образом, Комиссия Управления приходит к выводу, что аукционной комиссией в нарушение п. 2 ч. 6 ст. 67 Закона о контрактной системе в протоколе рассмотрения заявок на участие в электронном аукционе не указано обоснование принятого решения об отказе в допуске к участию в аукционе с указанием положений аукционной документации, которым не соответствует заявка Заявителя, положений заявки Заявителя на участие электронном аукционе, которые не соответствуют требованиям, установленным аукционной документацией, и решение аукционной комиссии Заказчика в части отказа в допуске Заявителю к участию в Аукционе по основаниям, указанным в протоколе рассмотрения заявок на участие в электронном аукционе от 04.02.2021 №0373200657321000006-1, является неправомерным, и нарушает положения ч.5 ст.67 Закона о контрактной</w:t>
      </w:r>
    </w:p>
    <w:p>
      <w:pPr>
        <w:pStyle w:val="Style13"/>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системе.</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Одновременно с этим в ходе проведения внеплановой проверки Комиссией Управления установлено следующее.</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В силу ч.3. ст.65 Закона о контрактной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Согласно ч.4 ст.65 Закона о контрактной системе в течение двух дней с даты поступления от оператора электронной площадки указанного в ч.3 ст.65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В силу ч.5 ст.65. Закона о контрактной системе разъяснения положений документации об электронном аукционе не должны изменять ее суть.</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Комиссией Управления установлено, что Заказчиком дано разъяснение положений документации об электронном аукционе от 27.01.2021 №РД2 , при этом данное разъяснение положений меняет суть аукционной документации, в частности:</w:t>
      </w:r>
    </w:p>
    <w:p>
      <w:pPr>
        <w:pStyle w:val="Style13"/>
        <w:widowControl w:val="0"/>
        <w:keepNext w:val="0"/>
        <w:keepLines w:val="0"/>
        <w:shd w:val="clear" w:color="auto" w:fill="auto"/>
        <w:bidi w:val="0"/>
        <w:spacing w:before="0" w:after="0" w:line="331" w:lineRule="exact"/>
        <w:ind w:left="20" w:right="0" w:firstLine="720"/>
      </w:pPr>
      <w:r>
        <w:rPr>
          <w:lang w:val="ru-RU" w:eastAsia="ru-RU" w:bidi="ru-RU"/>
          <w:w w:val="100"/>
          <w:spacing w:val="0"/>
          <w:color w:val="000000"/>
          <w:position w:val="0"/>
        </w:rPr>
        <w:t>«ВОПРОС:</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Добрый день! В ТЗ позиция №1 Футляр стальной из чугуна СЧ200, такого не существует. А в расчёте НМЦК Труба нержавеющая сталь, наружный диаметр 440мм, толщина стенки 8мм. Просьба указать ГОСТ проката и стали с указанием марки стали.Что нужно заказчику? В ТЗ позиция №2 материал бетон, а в расчётах НМЦК пластик с совершенно другими размерами. Что нужно? В ТЗ позиция № 4 и 5 арматура А1., а в расчётах НМЦК арматура А3. И диаметры не совпадают. Что нужно?</w:t>
      </w:r>
    </w:p>
    <w:p>
      <w:pPr>
        <w:pStyle w:val="Style13"/>
        <w:widowControl w:val="0"/>
        <w:keepNext w:val="0"/>
        <w:keepLines w:val="0"/>
        <w:shd w:val="clear" w:color="auto" w:fill="auto"/>
        <w:bidi w:val="0"/>
        <w:spacing w:before="0" w:after="0" w:line="331" w:lineRule="exact"/>
        <w:ind w:left="20" w:right="0" w:firstLine="720"/>
      </w:pPr>
      <w:r>
        <w:rPr>
          <w:lang w:val="ru-RU" w:eastAsia="ru-RU" w:bidi="ru-RU"/>
          <w:w w:val="100"/>
          <w:spacing w:val="0"/>
          <w:color w:val="000000"/>
          <w:position w:val="0"/>
        </w:rPr>
        <w:t>ОТВЕТ:</w:t>
      </w:r>
    </w:p>
    <w:p>
      <w:pPr>
        <w:pStyle w:val="Style13"/>
        <w:widowControl w:val="0"/>
        <w:keepNext w:val="0"/>
        <w:keepLines w:val="0"/>
        <w:shd w:val="clear" w:color="auto" w:fill="auto"/>
        <w:bidi w:val="0"/>
        <w:spacing w:before="0" w:after="0" w:line="331" w:lineRule="exact"/>
        <w:ind w:left="20" w:right="0" w:firstLine="720"/>
      </w:pPr>
      <w:r>
        <w:rPr>
          <w:lang w:val="ru-RU" w:eastAsia="ru-RU" w:bidi="ru-RU"/>
          <w:w w:val="100"/>
          <w:spacing w:val="0"/>
          <w:color w:val="000000"/>
          <w:position w:val="0"/>
        </w:rPr>
        <w:t>Добрый день!</w:t>
      </w:r>
    </w:p>
    <w:p>
      <w:pPr>
        <w:pStyle w:val="Style13"/>
        <w:widowControl w:val="0"/>
        <w:keepNext w:val="0"/>
        <w:keepLines w:val="0"/>
        <w:shd w:val="clear" w:color="auto" w:fill="auto"/>
        <w:bidi w:val="0"/>
        <w:spacing w:before="0" w:after="0" w:line="331" w:lineRule="exact"/>
        <w:ind w:left="20" w:right="20" w:firstLine="720"/>
      </w:pPr>
      <w:r>
        <w:rPr>
          <w:lang w:val="ru-RU" w:eastAsia="ru-RU" w:bidi="ru-RU"/>
          <w:w w:val="100"/>
          <w:spacing w:val="0"/>
          <w:color w:val="000000"/>
          <w:position w:val="0"/>
        </w:rPr>
        <w:t>Вопрос №1. В ТЗ позиция №1 Футляр стальной из чугуна СЧ200, такого не существует. А в расчёте НМЦК Труба нержавеющая сталь, наружный диаметр 440мм, толщина стенки 8мм. Просьба указать ГОСТ проката и стали с указанием</w:t>
      </w:r>
    </w:p>
    <w:p>
      <w:pPr>
        <w:pStyle w:val="Style13"/>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марки стали.Что нужно заказчику?</w:t>
      </w:r>
    </w:p>
    <w:p>
      <w:pPr>
        <w:pStyle w:val="Style13"/>
        <w:widowControl w:val="0"/>
        <w:keepNext w:val="0"/>
        <w:keepLines w:val="0"/>
        <w:shd w:val="clear" w:color="auto" w:fill="auto"/>
        <w:bidi w:val="0"/>
        <w:spacing w:before="0" w:after="0" w:line="331" w:lineRule="exact"/>
        <w:ind w:left="20" w:right="0" w:firstLine="700"/>
      </w:pPr>
      <w:r>
        <w:rPr>
          <w:lang w:val="ru-RU" w:eastAsia="ru-RU" w:bidi="ru-RU"/>
          <w:w w:val="100"/>
          <w:spacing w:val="0"/>
          <w:color w:val="000000"/>
          <w:position w:val="0"/>
        </w:rPr>
        <w:t>Ответ: Труба стальная диаметр 630, то</w:t>
      </w:r>
      <w:r>
        <w:rPr>
          <w:rStyle w:val="CharStyle19"/>
        </w:rPr>
        <w:t>лщ</w:t>
      </w:r>
      <w:r>
        <w:rPr>
          <w:lang w:val="ru-RU" w:eastAsia="ru-RU" w:bidi="ru-RU"/>
          <w:w w:val="100"/>
          <w:spacing w:val="0"/>
          <w:color w:val="000000"/>
          <w:position w:val="0"/>
        </w:rPr>
        <w:t>ина стенки 12 мм. Сталь 09Г2С</w:t>
      </w:r>
    </w:p>
    <w:p>
      <w:pPr>
        <w:pStyle w:val="Style13"/>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(К50)</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Вопрос №2. В ТЗ позиция №2 материал бетон, а в расчётах НМЦК пластик с совершенно другими размерами. Что нужно?</w:t>
      </w:r>
    </w:p>
    <w:p>
      <w:pPr>
        <w:pStyle w:val="Style13"/>
        <w:widowControl w:val="0"/>
        <w:keepNext w:val="0"/>
        <w:keepLines w:val="0"/>
        <w:shd w:val="clear" w:color="auto" w:fill="auto"/>
        <w:bidi w:val="0"/>
        <w:spacing w:before="0" w:after="0" w:line="331" w:lineRule="exact"/>
        <w:ind w:left="20" w:right="0" w:firstLine="700"/>
      </w:pPr>
      <w:r>
        <w:rPr>
          <w:lang w:val="ru-RU" w:eastAsia="ru-RU" w:bidi="ru-RU"/>
          <w:w w:val="100"/>
          <w:spacing w:val="0"/>
          <w:color w:val="000000"/>
          <w:position w:val="0"/>
        </w:rPr>
        <w:t>Ответ: Материал - бетон!</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Вопрос №3. В ТЗ позиция № 4 и 5 арматура А1., а в расчётах НМЦК арматура А3. И диаметры не совпадают. Что нужно?</w:t>
      </w:r>
    </w:p>
    <w:p>
      <w:pPr>
        <w:pStyle w:val="Style13"/>
        <w:widowControl w:val="0"/>
        <w:keepNext w:val="0"/>
        <w:keepLines w:val="0"/>
        <w:shd w:val="clear" w:color="auto" w:fill="auto"/>
        <w:bidi w:val="0"/>
        <w:spacing w:before="0" w:after="0" w:line="331" w:lineRule="exact"/>
        <w:ind w:left="20" w:right="0" w:firstLine="700"/>
      </w:pPr>
      <w:r>
        <w:rPr>
          <w:lang w:val="ru-RU" w:eastAsia="ru-RU" w:bidi="ru-RU"/>
          <w:w w:val="100"/>
          <w:spacing w:val="0"/>
          <w:color w:val="000000"/>
          <w:position w:val="0"/>
        </w:rPr>
        <w:t xml:space="preserve">Ответ: Нужна арматура </w:t>
      </w:r>
      <w:r>
        <w:rPr>
          <w:lang w:val="en-US" w:eastAsia="en-US" w:bidi="en-US"/>
          <w:w w:val="100"/>
          <w:spacing w:val="0"/>
          <w:color w:val="000000"/>
          <w:position w:val="0"/>
        </w:rPr>
        <w:t xml:space="preserve">A1 </w:t>
      </w:r>
      <w:r>
        <w:rPr>
          <w:lang w:val="ru-RU" w:eastAsia="ru-RU" w:bidi="ru-RU"/>
          <w:w w:val="100"/>
          <w:spacing w:val="0"/>
          <w:color w:val="000000"/>
          <w:position w:val="0"/>
        </w:rPr>
        <w:t>диаметры - 12 и 6 мм».</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Вместе с тем на заседании Комиссии Управления установлено, что в главе 2 «Качественные, технические, функциональные характеристики товара» технического задания Заказчиком установлены требуемые характеристики поставляемого товара, в том числе по п.1 «Футляр стальной»: «Тип: Труба стальная», «Форма: Круглая», «Материал: Серый чугун СЧ200», в то время как в вышеуказанном разъяснении положений документации указывается на «Материал: Сталь 09Г2С (К50)».</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В соответствии с ч. 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часть участников закупки подали заявки без учета разъяснения положений документации об электронном аукционе от 27.01.2021 №РД2, ввиду чего аукционной комиссией Заказчика принято решение об отклонении всех участников закупки.</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Таким образом, на основании имеющихся документов и сведений, Комиссия Управления приходит к выводу, что вышеуказанные разночтения ввели в заблуждение участников закупки, а также о нарушении Заказчиком положений ч.5 ст.65 Закона о контрактной системе.</w:t>
      </w:r>
    </w:p>
    <w:p>
      <w:pPr>
        <w:pStyle w:val="Style13"/>
        <w:widowControl w:val="0"/>
        <w:keepNext w:val="0"/>
        <w:keepLines w:val="0"/>
        <w:shd w:val="clear" w:color="auto" w:fill="auto"/>
        <w:bidi w:val="0"/>
        <w:spacing w:before="0" w:after="0" w:line="331"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20"/>
        <w:widowControl w:val="0"/>
        <w:keepNext/>
        <w:keepLines/>
        <w:shd w:val="clear" w:color="auto" w:fill="auto"/>
        <w:bidi w:val="0"/>
        <w:spacing w:before="0" w:after="303"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13"/>
        <w:numPr>
          <w:ilvl w:val="0"/>
          <w:numId w:val="9"/>
        </w:numPr>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 xml:space="preserve"> Признать жалобу ГБУ «Ритуал» на действия аукционной комиссии ИП Федянина Н.В. обоснованной.</w:t>
      </w:r>
    </w:p>
    <w:p>
      <w:pPr>
        <w:pStyle w:val="Style13"/>
        <w:numPr>
          <w:ilvl w:val="0"/>
          <w:numId w:val="9"/>
        </w:numPr>
        <w:widowControl w:val="0"/>
        <w:keepNext w:val="0"/>
        <w:keepLines w:val="0"/>
        <w:shd w:val="clear" w:color="auto" w:fill="auto"/>
        <w:bidi w:val="0"/>
        <w:spacing w:before="0" w:after="0" w:line="322" w:lineRule="exact"/>
        <w:ind w:left="0" w:right="20" w:firstLine="720"/>
      </w:pPr>
      <w:r>
        <w:rPr>
          <w:lang w:val="ru-RU" w:eastAsia="ru-RU" w:bidi="ru-RU"/>
          <w:w w:val="100"/>
          <w:spacing w:val="0"/>
          <w:color w:val="000000"/>
          <w:position w:val="0"/>
        </w:rPr>
        <w:t xml:space="preserve"> Признать в действиях Заказчика нарушение положений ч.5 ст.65 Закона о контрактной системе, в действиях аукционной комиссии Заказчика ч.5 п.2 ч.6 ст.67 Закона о контрактной системе.</w:t>
      </w:r>
    </w:p>
    <w:p>
      <w:pPr>
        <w:pStyle w:val="Style13"/>
        <w:numPr>
          <w:ilvl w:val="0"/>
          <w:numId w:val="9"/>
        </w:numPr>
        <w:widowControl w:val="0"/>
        <w:keepNext w:val="0"/>
        <w:keepLines w:val="0"/>
        <w:shd w:val="clear" w:color="auto" w:fill="auto"/>
        <w:bidi w:val="0"/>
        <w:spacing w:before="0" w:after="300" w:line="322" w:lineRule="exact"/>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13"/>
        <w:widowControl w:val="0"/>
        <w:keepNext w:val="0"/>
        <w:keepLines w:val="0"/>
        <w:shd w:val="clear" w:color="auto" w:fill="auto"/>
        <w:bidi w:val="0"/>
        <w:spacing w:before="0" w:after="47" w:line="322" w:lineRule="exact"/>
        <w:ind w:left="0" w:right="20" w:firstLine="8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13"/>
        <w:tabs>
          <w:tab w:leader="none" w:pos="8534" w:val="lef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Заместитель председателя Комиссии</w:t>
        <w:tab/>
        <w:t>ДА. Сологов</w:t>
      </w:r>
    </w:p>
    <w:p>
      <w:pPr>
        <w:pStyle w:val="Style13"/>
        <w:tabs>
          <w:tab w:leader="none" w:pos="8347" w:val="center"/>
          <w:tab w:leader="none" w:pos="10171"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А.А.</w:t>
        <w:tab/>
        <w:t>Матюшенко</w:t>
      </w:r>
    </w:p>
    <w:p>
      <w:pPr>
        <w:pStyle w:val="Style13"/>
        <w:widowControl w:val="0"/>
        <w:keepNext w:val="0"/>
        <w:keepLines w:val="0"/>
        <w:shd w:val="clear" w:color="auto" w:fill="auto"/>
        <w:bidi w:val="0"/>
        <w:jc w:val="right"/>
        <w:spacing w:before="0" w:after="5947" w:line="638" w:lineRule="exact"/>
        <w:ind w:left="0" w:right="20" w:firstLine="0"/>
      </w:pPr>
      <w:r>
        <w:rPr>
          <w:lang w:val="ru-RU" w:eastAsia="ru-RU" w:bidi="ru-RU"/>
          <w:w w:val="100"/>
          <w:spacing w:val="0"/>
          <w:color w:val="000000"/>
          <w:position w:val="0"/>
        </w:rPr>
        <w:t>Н.А. Узкий</w:t>
      </w:r>
    </w:p>
    <w:p>
      <w:pPr>
        <w:pStyle w:val="Style6"/>
        <w:widowControl w:val="0"/>
        <w:keepNext w:val="0"/>
        <w:keepLines w:val="0"/>
        <w:shd w:val="clear" w:color="auto" w:fill="auto"/>
        <w:bidi w:val="0"/>
        <w:jc w:val="both"/>
        <w:spacing w:before="0" w:after="0" w:line="18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lang w:val="en-US" w:eastAsia="en-US" w:bidi="en-US"/>
          <w:w w:val="100"/>
          <w:spacing w:val="0"/>
          <w:position w:val="0"/>
        </w:rPr>
        <w:t>to77-matiushenko@fas.gov.ru</w:t>
      </w:r>
      <w:r>
        <w:fldChar w:fldCharType="end"/>
      </w:r>
    </w:p>
    <w:sectPr>
      <w:pgSz w:w="11906" w:h="16838"/>
      <w:pgMar w:top="1331" w:left="852" w:right="845" w:bottom="15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3"/>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3"/>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en-US" w:eastAsia="en-US" w:bidi="en-US"/>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5)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8">
    <w:name w:val="Штрих-код (2)_"/>
    <w:basedOn w:val="DefaultParagraphFont"/>
    <w:link w:val="Style1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w:basedOn w:val="CharStyle14"/>
    <w:rPr>
      <w:lang w:val="ru-RU" w:eastAsia="ru-RU" w:bidi="ru-RU"/>
      <w:u w:val="single"/>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6">
    <w:name w:val="Основной текст (2)"/>
    <w:basedOn w:val="Normal"/>
    <w:link w:val="CharStyle7"/>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317" w:lineRule="exact"/>
      <w:ind w:firstLine="4540"/>
    </w:pPr>
    <w:rPr>
      <w:b/>
      <w:bCs/>
      <w:i w:val="0"/>
      <w:iCs w:val="0"/>
      <w:u w:val="none"/>
      <w:strike w:val="0"/>
      <w:smallCaps w:val="0"/>
      <w:sz w:val="26"/>
      <w:szCs w:val="26"/>
      <w:rFonts w:ascii="Times New Roman" w:eastAsia="Times New Roman" w:hAnsi="Times New Roman" w:cs="Times New Roman"/>
    </w:rPr>
  </w:style>
  <w:style w:type="paragraph" w:customStyle="1" w:styleId="Style17">
    <w:name w:val="Штрих-код (2)"/>
    <w:basedOn w:val="Normal"/>
    <w:link w:val="CharStyle1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