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307" w:line="260" w:lineRule="exact"/>
        <w:ind w:left="0" w:right="20" w:firstLine="0"/>
      </w:pPr>
      <w:r>
        <w:rPr>
          <w:lang w:val="ru-RU" w:eastAsia="ru-RU" w:bidi="ru-RU"/>
          <w:w w:val="100"/>
          <w:spacing w:val="0"/>
          <w:color w:val="000000"/>
          <w:position w:val="0"/>
        </w:rPr>
        <w:t>МАДИ</w:t>
      </w:r>
    </w:p>
    <w:p>
      <w:pPr>
        <w:pStyle w:val="Style3"/>
        <w:widowControl w:val="0"/>
        <w:keepNext w:val="0"/>
        <w:keepLines w:val="0"/>
        <w:shd w:val="clear" w:color="auto" w:fill="auto"/>
        <w:bidi w:val="0"/>
        <w:jc w:val="both"/>
        <w:spacing w:before="0" w:after="346" w:line="317" w:lineRule="exact"/>
        <w:ind w:left="1160" w:right="20" w:firstLine="0"/>
      </w:pPr>
      <w:r>
        <w:rPr>
          <w:lang w:val="ru-RU" w:eastAsia="ru-RU" w:bidi="ru-RU"/>
          <w:w w:val="100"/>
          <w:spacing w:val="0"/>
          <w:color w:val="000000"/>
          <w:position w:val="0"/>
        </w:rPr>
        <w:t>ул. Садовая-самотёчная, д. 1, г. Москва, 127473</w:t>
      </w:r>
    </w:p>
    <w:p>
      <w:pPr>
        <w:pStyle w:val="Style3"/>
        <w:widowControl w:val="0"/>
        <w:keepNext w:val="0"/>
        <w:keepLines w:val="0"/>
        <w:shd w:val="clear" w:color="auto" w:fill="auto"/>
        <w:bidi w:val="0"/>
        <w:spacing w:before="0" w:after="308" w:line="260" w:lineRule="exact"/>
        <w:ind w:left="0" w:right="20" w:firstLine="0"/>
      </w:pPr>
      <w:r>
        <w:rPr>
          <w:lang w:val="ru-RU" w:eastAsia="ru-RU" w:bidi="ru-RU"/>
          <w:w w:val="100"/>
          <w:spacing w:val="0"/>
          <w:color w:val="000000"/>
          <w:position w:val="0"/>
        </w:rPr>
        <w:t>ООО «МД-Консалтинг»</w:t>
      </w:r>
    </w:p>
    <w:p>
      <w:pPr>
        <w:pStyle w:val="Style3"/>
        <w:widowControl w:val="0"/>
        <w:keepNext w:val="0"/>
        <w:keepLines w:val="0"/>
        <w:shd w:val="clear" w:color="auto" w:fill="auto"/>
        <w:bidi w:val="0"/>
        <w:jc w:val="both"/>
        <w:spacing w:before="0" w:after="349" w:line="322" w:lineRule="exact"/>
        <w:ind w:left="1160" w:right="20" w:firstLine="0"/>
      </w:pPr>
      <w:r>
        <w:rPr>
          <w:lang w:val="ru-RU" w:eastAsia="ru-RU" w:bidi="ru-RU"/>
          <w:w w:val="100"/>
          <w:spacing w:val="0"/>
          <w:color w:val="000000"/>
          <w:position w:val="0"/>
        </w:rPr>
        <w:t>Приморский б-р., д. 2Б, оф. 5, г. Тольятти, 445051</w:t>
      </w:r>
    </w:p>
    <w:p>
      <w:pPr>
        <w:pStyle w:val="Style3"/>
        <w:widowControl w:val="0"/>
        <w:keepNext w:val="0"/>
        <w:keepLines w:val="0"/>
        <w:shd w:val="clear" w:color="auto" w:fill="auto"/>
        <w:bidi w:val="0"/>
        <w:spacing w:before="0" w:after="352" w:line="260" w:lineRule="exact"/>
        <w:ind w:left="0" w:right="20" w:firstLine="0"/>
      </w:pPr>
      <w:r>
        <w:rPr>
          <w:lang w:val="ru-RU" w:eastAsia="ru-RU" w:bidi="ru-RU"/>
          <w:w w:val="100"/>
          <w:spacing w:val="0"/>
          <w:color w:val="000000"/>
          <w:position w:val="0"/>
        </w:rPr>
        <w:t>АО «ЕЭТП»</w:t>
      </w:r>
    </w:p>
    <w:p>
      <w:pPr>
        <w:pStyle w:val="Style3"/>
        <w:widowControl w:val="0"/>
        <w:keepNext w:val="0"/>
        <w:keepLines w:val="0"/>
        <w:shd w:val="clear" w:color="auto" w:fill="auto"/>
        <w:bidi w:val="0"/>
        <w:spacing w:before="0" w:after="842" w:line="260" w:lineRule="exact"/>
        <w:ind w:left="0" w:right="20" w:firstLine="0"/>
      </w:pPr>
      <w:r>
        <w:rPr>
          <w:lang w:val="ru-RU" w:eastAsia="ru-RU" w:bidi="ru-RU"/>
          <w:w w:val="100"/>
          <w:spacing w:val="0"/>
          <w:color w:val="000000"/>
          <w:position w:val="0"/>
        </w:rPr>
        <w:t>60-я Октября пр., д. 9, г. Москва, 117312</w:t>
      </w:r>
    </w:p>
    <w:p>
      <w:pPr>
        <w:pStyle w:val="Style6"/>
        <w:tabs>
          <w:tab w:leader="none" w:pos="11206" w:val="left"/>
        </w:tabs>
        <w:widowControl w:val="0"/>
        <w:keepNext w:val="0"/>
        <w:keepLines w:val="0"/>
        <w:shd w:val="clear" w:color="auto" w:fill="auto"/>
        <w:bidi w:val="0"/>
        <w:jc w:val="left"/>
        <w:spacing w:before="0" w:after="0"/>
        <w:ind w:left="2480" w:right="2120" w:firstLine="2080"/>
      </w:pPr>
      <w:r>
        <w:rPr>
          <w:lang w:val="ru-RU" w:eastAsia="ru-RU" w:bidi="ru-RU"/>
          <w:w w:val="100"/>
          <w:spacing w:val="0"/>
          <w:color w:val="000000"/>
          <w:position w:val="0"/>
        </w:rPr>
        <w:t>РЕШЕНИЕ по делу № 077/06/106-2279/2021 о нарушении законодательства о контрактной системе</w:t>
      </w:r>
    </w:p>
    <w:p>
      <w:pPr>
        <w:pStyle w:val="Style6"/>
        <w:numPr>
          <w:ilvl w:val="0"/>
          <w:numId w:val="1"/>
        </w:numPr>
        <w:tabs>
          <w:tab w:leader="none" w:pos="8749" w:val="left"/>
          <w:tab w:leader="none" w:pos="8751" w:val="lef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г. Москва</w:t>
      </w:r>
    </w:p>
    <w:p>
      <w:pPr>
        <w:pStyle w:val="Style3"/>
        <w:widowControl w:val="0"/>
        <w:keepNext w:val="0"/>
        <w:keepLines w:val="0"/>
        <w:shd w:val="clear" w:color="auto" w:fill="auto"/>
        <w:bidi w:val="0"/>
        <w:jc w:val="both"/>
        <w:spacing w:before="0" w:after="0" w:line="317" w:lineRule="exact"/>
        <w:ind w:left="20" w:right="20" w:firstLine="68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3"/>
        <w:widowControl w:val="0"/>
        <w:keepNext w:val="0"/>
        <w:keepLines w:val="0"/>
        <w:shd w:val="clear" w:color="auto" w:fill="auto"/>
        <w:bidi w:val="0"/>
        <w:jc w:val="both"/>
        <w:spacing w:before="0" w:after="0" w:line="317" w:lineRule="exact"/>
        <w:ind w:left="20" w:right="20" w:firstLine="68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Д.А. Сологова,</w:t>
      </w:r>
    </w:p>
    <w:p>
      <w:pPr>
        <w:pStyle w:val="Style3"/>
        <w:widowControl w:val="0"/>
        <w:keepNext w:val="0"/>
        <w:keepLines w:val="0"/>
        <w:shd w:val="clear" w:color="auto" w:fill="auto"/>
        <w:bidi w:val="0"/>
        <w:jc w:val="both"/>
        <w:spacing w:before="0" w:after="0" w:line="317" w:lineRule="exact"/>
        <w:ind w:left="20" w:right="0" w:firstLine="680"/>
      </w:pPr>
      <w:r>
        <w:rPr>
          <w:lang w:val="ru-RU" w:eastAsia="ru-RU" w:bidi="ru-RU"/>
          <w:w w:val="100"/>
          <w:spacing w:val="0"/>
          <w:color w:val="000000"/>
          <w:position w:val="0"/>
        </w:rPr>
        <w:t>Членов Комиссии:</w:t>
      </w:r>
    </w:p>
    <w:p>
      <w:pPr>
        <w:pStyle w:val="Style3"/>
        <w:widowControl w:val="0"/>
        <w:keepNext w:val="0"/>
        <w:keepLines w:val="0"/>
        <w:shd w:val="clear" w:color="auto" w:fill="auto"/>
        <w:bidi w:val="0"/>
        <w:spacing w:before="0" w:after="0" w:line="317" w:lineRule="exact"/>
        <w:ind w:left="0" w:right="20" w:firstLine="0"/>
      </w:pPr>
      <w:r>
        <w:rPr>
          <w:lang w:val="ru-RU" w:eastAsia="ru-RU" w:bidi="ru-RU"/>
          <w:w w:val="100"/>
          <w:spacing w:val="0"/>
          <w:color w:val="000000"/>
          <w:position w:val="0"/>
        </w:rPr>
        <w:t>Ведущего специалиста-эксперта отдела обжалования государственных закупок</w:t>
      </w:r>
    </w:p>
    <w:p>
      <w:pPr>
        <w:pStyle w:val="Style3"/>
        <w:tabs>
          <w:tab w:leader="none" w:pos="625" w:val="left"/>
        </w:tabs>
        <w:widowControl w:val="0"/>
        <w:keepNext w:val="0"/>
        <w:keepLines w:val="0"/>
        <w:shd w:val="clear" w:color="auto" w:fill="auto"/>
        <w:bidi w:val="0"/>
        <w:jc w:val="both"/>
        <w:spacing w:before="0" w:after="0" w:line="317" w:lineRule="exact"/>
        <w:ind w:left="20" w:right="0" w:firstLine="0"/>
      </w:pPr>
      <w:r>
        <w:rPr>
          <w:lang w:val="ru-RU" w:eastAsia="ru-RU" w:bidi="ru-RU"/>
          <w:w w:val="100"/>
          <w:spacing w:val="0"/>
          <w:color w:val="000000"/>
          <w:position w:val="0"/>
        </w:rPr>
        <w:t>Н.А. Узкого,</w:t>
      </w:r>
    </w:p>
    <w:p>
      <w:pPr>
        <w:pStyle w:val="Style3"/>
        <w:widowControl w:val="0"/>
        <w:keepNext w:val="0"/>
        <w:keepLines w:val="0"/>
        <w:shd w:val="clear" w:color="auto" w:fill="auto"/>
        <w:bidi w:val="0"/>
        <w:jc w:val="both"/>
        <w:spacing w:before="0" w:after="0" w:line="317" w:lineRule="exact"/>
        <w:ind w:left="20" w:right="20" w:firstLine="680"/>
      </w:pPr>
      <w:r>
        <w:rPr>
          <w:lang w:val="ru-RU" w:eastAsia="ru-RU" w:bidi="ru-RU"/>
          <w:w w:val="100"/>
          <w:spacing w:val="0"/>
          <w:color w:val="000000"/>
          <w:position w:val="0"/>
        </w:rPr>
        <w:t>Специалиста 1 разряда отдела обжалования государственных закупок А.А. Матюшенко,</w:t>
      </w:r>
    </w:p>
    <w:p>
      <w:pPr>
        <w:pStyle w:val="Style3"/>
        <w:tabs>
          <w:tab w:leader="none" w:pos="608" w:val="left"/>
        </w:tabs>
        <w:widowControl w:val="0"/>
        <w:keepNext w:val="0"/>
        <w:keepLines w:val="0"/>
        <w:shd w:val="clear" w:color="auto" w:fill="auto"/>
        <w:bidi w:val="0"/>
        <w:jc w:val="both"/>
        <w:spacing w:before="0" w:after="0" w:line="317" w:lineRule="exact"/>
        <w:ind w:left="20" w:right="20" w:firstLine="680"/>
      </w:pPr>
      <w:r>
        <w:rPr>
          <w:lang w:val="ru-RU" w:eastAsia="ru-RU" w:bidi="ru-RU"/>
          <w:w w:val="100"/>
          <w:spacing w:val="0"/>
          <w:color w:val="000000"/>
          <w:position w:val="0"/>
        </w:rPr>
        <w:t>рассмотрение жалобы проводилось дистанционно (посредством видеоконференц-связи) в целях исполнения Указа Мэра Москвы от 25.09.2020 №</w:t>
        <w:tab/>
        <w:t>92-УМ «О внесении изменений в правовые акты города Москвы»</w:t>
      </w:r>
    </w:p>
    <w:p>
      <w:pPr>
        <w:pStyle w:val="Style3"/>
        <w:widowControl w:val="0"/>
        <w:keepNext w:val="0"/>
        <w:keepLines w:val="0"/>
        <w:shd w:val="clear" w:color="auto" w:fill="auto"/>
        <w:bidi w:val="0"/>
        <w:jc w:val="both"/>
        <w:spacing w:before="0" w:after="0" w:line="317" w:lineRule="exact"/>
        <w:ind w:left="20" w:right="20" w:firstLine="0"/>
      </w:pPr>
      <w:r>
        <w:rPr>
          <w:lang w:val="ru-RU" w:eastAsia="ru-RU" w:bidi="ru-RU"/>
          <w:w w:val="100"/>
          <w:spacing w:val="0"/>
          <w:color w:val="000000"/>
          <w:position w:val="0"/>
        </w:rPr>
        <w:t xml:space="preserve">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3"/>
        <w:widowControl w:val="0"/>
        <w:keepNext w:val="0"/>
        <w:keepLines w:val="0"/>
        <w:shd w:val="clear" w:color="auto" w:fill="auto"/>
        <w:bidi w:val="0"/>
        <w:jc w:val="both"/>
        <w:spacing w:before="0" w:after="0" w:line="317" w:lineRule="exact"/>
        <w:ind w:left="20" w:right="20" w:firstLine="680"/>
      </w:pPr>
      <w:r>
        <w:rPr>
          <w:lang w:val="ru-RU" w:eastAsia="ru-RU" w:bidi="ru-RU"/>
          <w:w w:val="100"/>
          <w:spacing w:val="0"/>
          <w:color w:val="000000"/>
          <w:position w:val="0"/>
        </w:rPr>
        <w:t>представители ООО «МД-Консалтинг», МАДИ участвовали посредством видеоконференцсвязи,</w:t>
      </w:r>
    </w:p>
    <w:p>
      <w:pPr>
        <w:pStyle w:val="Style3"/>
        <w:widowControl w:val="0"/>
        <w:keepNext w:val="0"/>
        <w:keepLines w:val="0"/>
        <w:shd w:val="clear" w:color="auto" w:fill="auto"/>
        <w:bidi w:val="0"/>
        <w:jc w:val="both"/>
        <w:spacing w:before="0" w:after="417" w:line="317" w:lineRule="exact"/>
        <w:ind w:left="20" w:right="20" w:firstLine="680"/>
      </w:pPr>
      <w:r>
        <w:rPr>
          <w:lang w:val="ru-RU" w:eastAsia="ru-RU" w:bidi="ru-RU"/>
          <w:w w:val="100"/>
          <w:spacing w:val="0"/>
          <w:color w:val="000000"/>
          <w:position w:val="0"/>
        </w:rPr>
        <w:t>рассмотрев жалобу ООО «МД-Консалтинг» (далее — Заявитель) на действия МАДИ (далее — Заказчик) при проведении электронного аукциона на право заключения государственного контракта на оказание услуг по организации перевозок пассажиров и багажа легковым такси в 2021 году (Закупка № 0173200025521000001) (далее — Ау</w:t>
      </w:r>
      <w:r>
        <w:rPr>
          <w:rStyle w:val="CharStyle8"/>
        </w:rPr>
        <w:t>кци</w:t>
      </w:r>
      <w:r>
        <w:rPr>
          <w:lang w:val="ru-RU" w:eastAsia="ru-RU" w:bidi="ru-RU"/>
          <w:w w:val="100"/>
          <w:spacing w:val="0"/>
          <w:color w:val="000000"/>
          <w:position w:val="0"/>
        </w:rPr>
        <w:t>он), в соответствии со ст. 106 Федерального закона от 05.04.2013</w:t>
      </w:r>
    </w:p>
    <w:p>
      <w:pPr>
        <w:pStyle w:val="Style9"/>
        <w:widowControl w:val="0"/>
        <w:keepNext w:val="0"/>
        <w:keepLines w:val="0"/>
        <w:shd w:val="clear" w:color="auto" w:fill="auto"/>
        <w:bidi w:val="0"/>
        <w:jc w:val="left"/>
        <w:spacing w:before="0" w:after="0" w:line="240" w:lineRule="auto"/>
        <w:ind w:left="0" w:right="0" w:firstLine="0"/>
      </w:pPr>
      <w:r>
        <w:rPr>
          <w:w w:val="100"/>
          <w:spacing w:val="0"/>
          <w:color w:val="000000"/>
          <w:position w:val="0"/>
        </w:rPr>
        <w:t>000804021533</w:t>
      </w:r>
    </w:p>
    <w:p>
      <w:pPr>
        <w:pStyle w:val="Style3"/>
        <w:widowControl w:val="0"/>
        <w:keepNext w:val="0"/>
        <w:keepLines w:val="0"/>
        <w:shd w:val="clear" w:color="auto" w:fill="auto"/>
        <w:bidi w:val="0"/>
        <w:jc w:val="both"/>
        <w:spacing w:before="0" w:after="886" w:line="317" w:lineRule="exact"/>
        <w:ind w:left="20" w:right="20" w:firstLine="0"/>
      </w:pP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соответствии с Административным регламентом ФАС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№727/14 (далее — Административный регламент),</w:t>
      </w:r>
    </w:p>
    <w:p>
      <w:pPr>
        <w:pStyle w:val="Style6"/>
        <w:widowControl w:val="0"/>
        <w:keepNext w:val="0"/>
        <w:keepLines w:val="0"/>
        <w:shd w:val="clear" w:color="auto" w:fill="auto"/>
        <w:bidi w:val="0"/>
        <w:jc w:val="center"/>
        <w:spacing w:before="0" w:after="603" w:line="260" w:lineRule="exact"/>
        <w:ind w:left="0" w:right="0" w:firstLine="0"/>
      </w:pPr>
      <w:r>
        <w:rPr>
          <w:lang w:val="ru-RU" w:eastAsia="ru-RU" w:bidi="ru-RU"/>
          <w:w w:val="100"/>
          <w:spacing w:val="0"/>
          <w:color w:val="000000"/>
          <w:position w:val="0"/>
        </w:rPr>
        <w:t>УСТАНОВИЛА:</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электронного аукциона.</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Комиссия Управления установила следующее.</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На заседании Комиссии Управления Заказчиком представлены документы и сведения, запрашиваемые письмом Московского УФАС России №ЕИ/7153/21 от</w:t>
      </w:r>
    </w:p>
    <w:p>
      <w:pPr>
        <w:pStyle w:val="Style3"/>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09.02.2021</w:t>
      </w:r>
    </w:p>
    <w:p>
      <w:pPr>
        <w:pStyle w:val="Style3"/>
        <w:numPr>
          <w:ilvl w:val="0"/>
          <w:numId w:val="3"/>
        </w:numPr>
        <w:tabs>
          <w:tab w:leader="none" w:pos="1225" w:val="left"/>
        </w:tabs>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жалобе Заявитель указывает, что Заказчиком установлены неправомерные требования к составу первой части заявки на участие в аукционе, а именно, по мнению Заявителя, Заказчиком неправомерно установлено требование о предоставлении конкретных показателей товаров, поскольку объектом закупки является оказание услуг по организации перевозок пассажиров и багажа легковым такси в 2021 году.</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Согласно п.1, 2 ч.1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ст.33 Закона о контрактной системе, в том числе обоснование начальной (максимальной) цены контракта, начальных цен единиц товара, работы, услуги, а также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соответствии с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силу ч.2 ст.33 Закона о контрактной системе документация о закупке в соответствии с требованиями, указанными в ч.1 ст.33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Согласно п.2 ч.3 ст.66 Закона о контрактной системе первая часть заявки на участие в электронном аукционе, за исключением случая, предусмотренного частью 3.1 статьи 66 Закона о контрактной системе, при осуществлении закупки товара, в том числе поставляемого заказчику при выполнении закупаемых работ, оказании закупаемых услуг должна содержать наименование страны происхождения товара,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соответствии с ч.6 ст.66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или 3.1 и 5 статьи 66 Закона о контрактной системе документов и информации, не допускается.</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Согласно п.18.1 информационной карты аукционной документации первая часть заявки на участие в электронном аукционе должна содержать, в том числе:</w:t>
      </w:r>
    </w:p>
    <w:p>
      <w:pPr>
        <w:pStyle w:val="Style3"/>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w:t>
        <w:softHyphen/>
        <w:t>аппаратных средств электронной площадки)</w:t>
      </w:r>
    </w:p>
    <w:p>
      <w:pPr>
        <w:pStyle w:val="Style3"/>
        <w:numPr>
          <w:ilvl w:val="0"/>
          <w:numId w:val="3"/>
        </w:numPr>
        <w:widowControl w:val="0"/>
        <w:keepNext w:val="0"/>
        <w:keepLines w:val="0"/>
        <w:shd w:val="clear" w:color="auto" w:fill="auto"/>
        <w:bidi w:val="0"/>
        <w:jc w:val="both"/>
        <w:spacing w:before="0" w:after="0" w:line="322" w:lineRule="exact"/>
        <w:ind w:left="20" w:right="0" w:firstLine="700"/>
      </w:pPr>
      <w:r>
        <w:rPr>
          <w:lang w:val="ru-RU" w:eastAsia="ru-RU" w:bidi="ru-RU"/>
          <w:w w:val="100"/>
          <w:spacing w:val="0"/>
          <w:color w:val="000000"/>
          <w:position w:val="0"/>
        </w:rPr>
        <w:t xml:space="preserve"> Наименование страны происхождения товара</w:t>
      </w:r>
    </w:p>
    <w:p>
      <w:pPr>
        <w:pStyle w:val="Style3"/>
        <w:numPr>
          <w:ilvl w:val="0"/>
          <w:numId w:val="3"/>
        </w:numPr>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 xml:space="preserve">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в случае наличия в составе документации формы «сведения о качестве, технических характеристиках товара, его безопасности, функциональных характеристиках (потребительских свойствах) товара, размере, упаковке, отгрузке товара и иные сведения о товаре, предоставление которых предусмотрено документацией об открытом аукционе в электронной форме» (а также иные сведения, предусмотренные указанной формой).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Комиссией Управления установлено, что Приложением №3 к Техническому заданию «Сведения о транспортных средствах, используемых для оказания услуг (спецификация)» установлены требования к товарам.</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Вместе с тем в рамках рассматриваемой закупки при оказание услуг по организации перевозок пассажиров и багажа легковым такси в 2021 году поставка товара не осуществляется, однако в технической части аукционной документации установлены требования, в частности, к автомобилям, которые очевидно не поставляются, а используются при оказании услуг.</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Таким образом, учитывая, что Приложением №3 к Техническому заданию документации об аукционе установлены требования к используемым товарам (материалам) при оказании услуг, Заказчиком неправомерно установлены требования о предоставлении конкретных показателей товаров, в частности указание на товарный знак, производителя, страны происхождения в составе заявки на участие в аукционе, поскольку в соответствии с положениями ч.3 ст.66 Закона о контрактной системе заявка на участие в аукционе в описанном случае должна содержать исключительно согласие участника закупки на оказание услуг в соответствии с техническим заданием, в том числе, в отношении товаров (материалов), используемых при оказании услуг.</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соответствии с ч. 2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На заседании Комиссии Управления представитель Заказчика согласился с данным доводом жалобы и пояснил, что аукционная документация является типовой, формируется программой ЕАИСТ, ввиду чего в п.18.1 информационной карты установлено требование о представлении конкретных характеристик используемых товара, при этом у Заказчика отсутствовала возможность внести изменения в данные положения информационной карты аукционной документации.</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Таким образом, Комиссия Управления приходит к выводу о нарушении Заказчиком п.2 ч.1 ст.64, ч.6 ст.66 Закона о контрактной системе при формировании требований к составу первой части заявки.</w:t>
      </w:r>
    </w:p>
    <w:p>
      <w:pPr>
        <w:pStyle w:val="Style3"/>
        <w:numPr>
          <w:ilvl w:val="0"/>
          <w:numId w:val="5"/>
        </w:numPr>
        <w:tabs>
          <w:tab w:leader="none" w:pos="1048" w:val="left"/>
        </w:tabs>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Также в составе жалобы Заявитель указывает, что проект государственного контракта не содержит условие о сроках возврата заказчиком поставщику (подрядчику, исполнителю) денежных средств, внесенных в качестве обеспечения исполнения контракта.</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На основании ч.1 ст.96 Закона о контрактной системе Заказчиком, за исключением случаев, предусмотренных частью 2 ст.96 Закона о контрактной систем, в извещении об осуществлении закупки, документации о закупке, проекте контракта, приглашении принять участие в определении поставщика (подрядчика, исполнителя) закрытым способом должно быть установлено требование обеспечения исполнения контракта, обеспечения гарантийных обязательств в случае установления требований к таким обязательствам в соответствии с частью 4 статьи 33 Закона о контрактной системе.</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Согласно ч.4 ст.64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На основании ч.27 ст.34 Закона о контрактной системе в контракт включается обязательное условие о сроках возврата заказчиком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Комиссией Управления установлено, что в проекте государственного контракта не содержатся условия о сроках возврата заказчиком поставщику (подрядчику, исполнителю) денежных средств, внесенных в качестве обеспечения исполнения контракта.</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На заседании Комиссии Управления представитель Заказчика согласился с данным доводом жалобы и пояснил, что в результате технической ошибки программы ЕАИСТ, в результате которой часть сведений главы 9 государственного контракта не были отражены в проекте государственного контракта, в том числе сведения относительно условий о сроках возврата заказчиком поставщику (подрядчику, исполнителю) денежных средств, внесенных в качестве обеспечения исполнения контракта.</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Таким образом, Комиссия Управления приходит к выводу о нарушении Заказчиком ч.27 ст.34 Закона о контрактной системе.</w:t>
      </w:r>
    </w:p>
    <w:p>
      <w:pPr>
        <w:pStyle w:val="Style3"/>
        <w:numPr>
          <w:ilvl w:val="0"/>
          <w:numId w:val="5"/>
        </w:numPr>
        <w:tabs>
          <w:tab w:leader="none" w:pos="2118" w:val="left"/>
        </w:tabs>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Согласно доводу жалобы в Извещении о проведении электронного аукциона № 0173200025521000001 отсутствует информация об источниках финансирования, что нарушает права участников на информационное обеспечение, поскольку потенциальный участник закупки не имеет возможности однозначно установить условия проведения закупки.</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силу п.2 ст.42 Закона о контрактной системе в извещении об осуществлении закупки должно содержаться краткое изложение условий контракта, содержащее наименование и описание объекта закупки с учетом требований, предусмотренных статьей 33 Закона о контрактной системе, информацию о количестве и месте доставки товара, являющегося предметом контракта, месте выполнения работы или оказания услуги, являющихся предметом контракта, а также сроки поставки товара или завершения работы либо график оказания услуг, начальная (максимальная) цена контракта, источник финансирования.</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Комиссии Управления установлено, что в Извещении о проведении электронного аукциона отсутствует информация об источниках финансирования. Вместе с тем данная информация указаны в п.8 информационной карты аукционной документации: «Год бюджета 2021: Лимит бюджетных обязательств, КБК: 782-0408-</w:t>
        <w:br w:type="page"/>
        <w:t>31Б0100300-244-222: 9 988 475,00 руб».</w:t>
      </w:r>
    </w:p>
    <w:p>
      <w:pPr>
        <w:pStyle w:val="Style3"/>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Таким образом, Комиссия Управления приходит к выводу, что Заказчиком допущены формальные нарушения положений п.2 ст.42 Закона о контрактной системе в части отсутствия указания информации об источниках финансирования в Извещении о проведении аукциона.</w:t>
      </w:r>
    </w:p>
    <w:p>
      <w:pPr>
        <w:pStyle w:val="Style3"/>
        <w:widowControl w:val="0"/>
        <w:keepNext w:val="0"/>
        <w:keepLines w:val="0"/>
        <w:shd w:val="clear" w:color="auto" w:fill="auto"/>
        <w:bidi w:val="0"/>
        <w:jc w:val="both"/>
        <w:spacing w:before="0" w:after="949" w:line="322" w:lineRule="exact"/>
        <w:ind w:left="20" w:right="20" w:firstLine="74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6"/>
        <w:widowControl w:val="0"/>
        <w:keepNext w:val="0"/>
        <w:keepLines w:val="0"/>
        <w:shd w:val="clear" w:color="auto" w:fill="auto"/>
        <w:bidi w:val="0"/>
        <w:jc w:val="center"/>
        <w:spacing w:before="0" w:after="599" w:line="260" w:lineRule="exact"/>
        <w:ind w:left="20" w:right="0" w:firstLine="0"/>
      </w:pPr>
      <w:r>
        <w:rPr>
          <w:lang w:val="ru-RU" w:eastAsia="ru-RU" w:bidi="ru-RU"/>
          <w:w w:val="100"/>
          <w:spacing w:val="0"/>
          <w:color w:val="000000"/>
          <w:position w:val="0"/>
        </w:rPr>
        <w:t>Р Е Ш И Л А:</w:t>
      </w:r>
    </w:p>
    <w:p>
      <w:pPr>
        <w:pStyle w:val="Style3"/>
        <w:numPr>
          <w:ilvl w:val="0"/>
          <w:numId w:val="7"/>
        </w:numPr>
        <w:widowControl w:val="0"/>
        <w:keepNext w:val="0"/>
        <w:keepLines w:val="0"/>
        <w:shd w:val="clear" w:color="auto" w:fill="auto"/>
        <w:bidi w:val="0"/>
        <w:jc w:val="both"/>
        <w:spacing w:before="0" w:after="0" w:line="326" w:lineRule="exact"/>
        <w:ind w:left="20" w:right="20" w:firstLine="740"/>
      </w:pPr>
      <w:r>
        <w:rPr>
          <w:lang w:val="ru-RU" w:eastAsia="ru-RU" w:bidi="ru-RU"/>
          <w:w w:val="100"/>
          <w:spacing w:val="0"/>
          <w:color w:val="000000"/>
          <w:position w:val="0"/>
        </w:rPr>
        <w:t xml:space="preserve"> Признать жалобу ООО «МД-Консалтинг» на действия МАДИ обоснованной.</w:t>
      </w:r>
    </w:p>
    <w:p>
      <w:pPr>
        <w:pStyle w:val="Style3"/>
        <w:numPr>
          <w:ilvl w:val="0"/>
          <w:numId w:val="7"/>
        </w:numPr>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 xml:space="preserve"> Признать в действиях Заказчика нарушения ч.27 ст.34, п.2 ст.42, п.2 ч.1 ст.64, ч.6 ст.66 Закона о контрактной системе.</w:t>
      </w:r>
    </w:p>
    <w:p>
      <w:pPr>
        <w:pStyle w:val="Style3"/>
        <w:numPr>
          <w:ilvl w:val="0"/>
          <w:numId w:val="7"/>
        </w:numPr>
        <w:widowControl w:val="0"/>
        <w:keepNext w:val="0"/>
        <w:keepLines w:val="0"/>
        <w:shd w:val="clear" w:color="auto" w:fill="auto"/>
        <w:bidi w:val="0"/>
        <w:jc w:val="both"/>
        <w:spacing w:before="0" w:after="604" w:line="326" w:lineRule="exact"/>
        <w:ind w:left="20" w:right="20" w:firstLine="740"/>
      </w:pPr>
      <w:r>
        <w:rPr>
          <w:lang w:val="ru-RU" w:eastAsia="ru-RU" w:bidi="ru-RU"/>
          <w:w w:val="100"/>
          <w:spacing w:val="0"/>
          <w:color w:val="000000"/>
          <w:position w:val="0"/>
        </w:rPr>
        <w:t xml:space="preserve"> Выдать Заказчику обязательное для исполнения предписание об устранении нарушений законодательства об осуществлении закупок.</w:t>
      </w:r>
    </w:p>
    <w:p>
      <w:pPr>
        <w:pStyle w:val="Style3"/>
        <w:widowControl w:val="0"/>
        <w:keepNext w:val="0"/>
        <w:keepLines w:val="0"/>
        <w:shd w:val="clear" w:color="auto" w:fill="auto"/>
        <w:bidi w:val="0"/>
        <w:jc w:val="both"/>
        <w:spacing w:before="0" w:after="227" w:line="322" w:lineRule="exact"/>
        <w:ind w:left="20" w:right="20" w:firstLine="74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установленным гл. 24 АПК РФ.</w:t>
      </w:r>
    </w:p>
    <w:p>
      <w:pPr>
        <w:pStyle w:val="Style3"/>
        <w:framePr w:w="4504" w:h="1282" w:wrap="around" w:vAnchor="text" w:hAnchor="margin" w:x="13" w:y="-318"/>
        <w:widowControl w:val="0"/>
        <w:keepNext w:val="0"/>
        <w:keepLines w:val="0"/>
        <w:shd w:val="clear" w:color="auto" w:fill="auto"/>
        <w:bidi w:val="0"/>
        <w:jc w:val="both"/>
        <w:spacing w:before="0" w:after="0" w:line="638" w:lineRule="exact"/>
        <w:ind w:left="0" w:right="100" w:firstLine="0"/>
      </w:pPr>
      <w:r>
        <w:rPr>
          <w:rStyle w:val="CharStyle4"/>
        </w:rPr>
        <w:t>Заместитель председателя Комиссии Члены Комиссии</w:t>
      </w:r>
    </w:p>
    <w:p>
      <w:pPr>
        <w:pStyle w:val="Style3"/>
        <w:widowControl w:val="0"/>
        <w:keepNext w:val="0"/>
        <w:keepLines w:val="0"/>
        <w:shd w:val="clear" w:color="auto" w:fill="auto"/>
        <w:bidi w:val="0"/>
        <w:jc w:val="left"/>
        <w:spacing w:before="0" w:after="2819" w:line="638" w:lineRule="exact"/>
        <w:ind w:left="3500" w:right="20" w:firstLine="440"/>
      </w:pPr>
      <w:r>
        <w:rPr>
          <w:lang w:val="ru-RU" w:eastAsia="ru-RU" w:bidi="ru-RU"/>
          <w:w w:val="100"/>
          <w:spacing w:val="0"/>
          <w:color w:val="000000"/>
          <w:position w:val="0"/>
        </w:rPr>
        <w:t>Д.А. Сологов А.А. Матюшенко Н.А. Узкий</w:t>
      </w:r>
    </w:p>
    <w:p>
      <w:pPr>
        <w:pStyle w:val="Style11"/>
        <w:widowControl w:val="0"/>
        <w:keepNext w:val="0"/>
        <w:keepLines w:val="0"/>
        <w:shd w:val="clear" w:color="auto" w:fill="auto"/>
        <w:bidi w:val="0"/>
        <w:jc w:val="left"/>
        <w:spacing w:before="0" w:after="0" w:line="190" w:lineRule="exact"/>
        <w:ind w:left="20" w:right="0" w:firstLine="0"/>
      </w:pPr>
      <w:r>
        <w:rPr>
          <w:lang w:val="ru-RU" w:eastAsia="ru-RU" w:bidi="ru-RU"/>
          <w:w w:val="100"/>
          <w:spacing w:val="0"/>
          <w:color w:val="000000"/>
          <w:position w:val="0"/>
        </w:rPr>
        <w:t xml:space="preserve">Исп. Матюшенко А.А., </w:t>
      </w:r>
      <w:r>
        <w:fldChar w:fldCharType="begin"/>
      </w:r>
      <w:r>
        <w:rPr>
          <w:color w:val="000000"/>
        </w:rPr>
        <w:instrText> HYPERLINK "mailto:to77-matiushenko@fas.gov.ru" </w:instrText>
      </w:r>
      <w:r>
        <w:fldChar w:fldCharType="separate"/>
      </w:r>
      <w:r>
        <w:rPr>
          <w:rStyle w:val="Hyperlink"/>
          <w:w w:val="100"/>
          <w:spacing w:val="0"/>
          <w:position w:val="0"/>
        </w:rPr>
        <w:t>to77-matiushenko@fas.gov.ru</w:t>
      </w:r>
      <w:r>
        <w:fldChar w:fldCharType="end"/>
      </w:r>
    </w:p>
    <w:sectPr>
      <w:footnotePr>
        <w:pos w:val="pageBottom"/>
        <w:numFmt w:val="decimal"/>
        <w:numRestart w:val="continuous"/>
      </w:footnotePr>
      <w:type w:val="continuous"/>
      <w:pgSz w:w="11906" w:h="16838"/>
      <w:pgMar w:top="1516" w:left="847" w:right="840" w:bottom="107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12.02.%1"/>
      <w:rPr>
        <w:lang w:val="ru-RU" w:eastAsia="ru-RU" w:bidi="ru-RU"/>
        <w:b/>
        <w:bCs/>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rFonts w:ascii="Times New Roman" w:eastAsia="Times New Roman" w:hAnsi="Times New Roman" w:cs="Times New Roman"/>
    </w:rPr>
  </w:style>
  <w:style w:type="character" w:customStyle="1" w:styleId="CharStyle5">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7">
    <w:name w:val="Основной текст (2)_"/>
    <w:basedOn w:val="DefaultParagraphFont"/>
    <w:link w:val="Style6"/>
    <w:rPr>
      <w:b/>
      <w:bCs/>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w:basedOn w:val="CharStyle5"/>
    <w:rPr>
      <w:lang w:val="ru-RU" w:eastAsia="ru-RU" w:bidi="ru-RU"/>
      <w:u w:val="single"/>
      <w:w w:val="100"/>
      <w:spacing w:val="0"/>
      <w:color w:val="000000"/>
      <w:position w:val="0"/>
    </w:rPr>
  </w:style>
  <w:style w:type="character" w:customStyle="1" w:styleId="CharStyle10">
    <w:name w:val="Штрих-код (2)_"/>
    <w:basedOn w:val="DefaultParagraphFont"/>
    <w:link w:val="Style9"/>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12">
    <w:name w:val="Основной текст (3)_"/>
    <w:basedOn w:val="DefaultParagraphFont"/>
    <w:link w:val="Style11"/>
    <w:rPr>
      <w:lang w:val="en-US" w:eastAsia="en-US" w:bidi="en-US"/>
      <w:b/>
      <w:bCs/>
      <w:i w:val="0"/>
      <w:iCs w:val="0"/>
      <w:u w:val="none"/>
      <w:strike w:val="0"/>
      <w:smallCaps w:val="0"/>
      <w:sz w:val="19"/>
      <w:szCs w:val="19"/>
      <w:rFonts w:ascii="Times New Roman" w:eastAsia="Times New Roman" w:hAnsi="Times New Roman" w:cs="Times New Roman"/>
    </w:rPr>
  </w:style>
  <w:style w:type="paragraph" w:customStyle="1" w:styleId="Style3">
    <w:name w:val="Основной текст"/>
    <w:basedOn w:val="Normal"/>
    <w:link w:val="CharStyle5"/>
    <w:pPr>
      <w:widowControl w:val="0"/>
      <w:shd w:val="clear" w:color="auto" w:fill="FFFFFF"/>
      <w:jc w:val="right"/>
      <w:spacing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spacing w:before="960" w:line="317" w:lineRule="exact"/>
    </w:pPr>
    <w:rPr>
      <w:b/>
      <w:bCs/>
      <w:i w:val="0"/>
      <w:iCs w:val="0"/>
      <w:u w:val="none"/>
      <w:strike w:val="0"/>
      <w:smallCaps w:val="0"/>
      <w:sz w:val="26"/>
      <w:szCs w:val="26"/>
      <w:rFonts w:ascii="Times New Roman" w:eastAsia="Times New Roman" w:hAnsi="Times New Roman" w:cs="Times New Roman"/>
    </w:rPr>
  </w:style>
  <w:style w:type="paragraph" w:customStyle="1" w:styleId="Style9">
    <w:name w:val="Штрих-код (2)"/>
    <w:basedOn w:val="Normal"/>
    <w:link w:val="CharStyle10"/>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11">
    <w:name w:val="Основной текст (3)"/>
    <w:basedOn w:val="Normal"/>
    <w:link w:val="CharStyle12"/>
    <w:pPr>
      <w:widowControl w:val="0"/>
      <w:shd w:val="clear" w:color="auto" w:fill="FFFFFF"/>
      <w:spacing w:before="2460" w:line="0" w:lineRule="exact"/>
    </w:pPr>
    <w:rPr>
      <w:lang w:val="en-US" w:eastAsia="en-US" w:bidi="en-US"/>
      <w:b/>
      <w:bCs/>
      <w:i w:val="0"/>
      <w:iCs w:val="0"/>
      <w:u w:val="none"/>
      <w:strike w:val="0"/>
      <w:smallCaps w:val="0"/>
      <w:sz w:val="19"/>
      <w:szCs w:val="1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