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numPr>
          <w:ilvl w:val="0"/>
          <w:numId w:val="1"/>
        </w:numPr>
        <w:widowControl w:val="0"/>
        <w:keepNext w:val="0"/>
        <w:keepLines w:val="0"/>
        <w:shd w:val="clear" w:color="auto" w:fill="auto"/>
        <w:bidi w:val="0"/>
        <w:jc w:val="left"/>
        <w:spacing w:before="0" w:after="296"/>
        <w:ind w:left="5320" w:right="1120" w:firstLine="0"/>
      </w:pPr>
      <w:r>
        <w:rPr>
          <w:lang w:val="ru-RU" w:eastAsia="ru-RU" w:bidi="ru-RU"/>
          <w:w w:val="100"/>
          <w:spacing w:val="0"/>
          <w:color w:val="000000"/>
          <w:position w:val="0"/>
        </w:rPr>
        <w:t xml:space="preserve"> ГКУ «Дирекция ОДОТСЗН г. Москвы»</w:t>
      </w:r>
    </w:p>
    <w:p>
      <w:pPr>
        <w:pStyle w:val="Style5"/>
        <w:widowControl w:val="0"/>
        <w:keepNext w:val="0"/>
        <w:keepLines w:val="0"/>
        <w:shd w:val="clear" w:color="auto" w:fill="auto"/>
        <w:bidi w:val="0"/>
        <w:jc w:val="left"/>
        <w:spacing w:before="0" w:after="304" w:line="326" w:lineRule="exact"/>
        <w:ind w:left="5320" w:right="360" w:firstLine="0"/>
      </w:pPr>
      <w:r>
        <w:rPr>
          <w:lang w:val="ru-RU" w:eastAsia="ru-RU" w:bidi="ru-RU"/>
          <w:w w:val="100"/>
          <w:spacing w:val="0"/>
          <w:color w:val="000000"/>
          <w:position w:val="0"/>
        </w:rPr>
        <w:t xml:space="preserve">пер. Орликов, д. 2, г. Москва, 107078, </w:t>
      </w:r>
      <w:r>
        <w:fldChar w:fldCharType="begin"/>
      </w:r>
      <w:r>
        <w:rPr>
          <w:color w:val="000000"/>
        </w:rPr>
        <w:instrText> HYPERLINK "mailto:orgzdd@social.mos.ru" </w:instrText>
      </w:r>
      <w:r>
        <w:fldChar w:fldCharType="separate"/>
      </w:r>
      <w:r>
        <w:rPr>
          <w:rStyle w:val="Hyperlink"/>
          <w:lang w:val="en-US" w:eastAsia="en-US" w:bidi="en-US"/>
          <w:w w:val="100"/>
          <w:spacing w:val="0"/>
          <w:position w:val="0"/>
        </w:rPr>
        <w:t>orgzdd@social.mos.ru</w:t>
      </w:r>
      <w:r>
        <w:fldChar w:fldCharType="end"/>
      </w:r>
    </w:p>
    <w:p>
      <w:pPr>
        <w:pStyle w:val="Style5"/>
        <w:numPr>
          <w:ilvl w:val="0"/>
          <w:numId w:val="1"/>
        </w:numPr>
        <w:widowControl w:val="0"/>
        <w:keepNext w:val="0"/>
        <w:keepLines w:val="0"/>
        <w:shd w:val="clear" w:color="auto" w:fill="auto"/>
        <w:bidi w:val="0"/>
        <w:jc w:val="left"/>
        <w:spacing w:before="0" w:after="304"/>
        <w:ind w:left="5320" w:right="360" w:firstLine="0"/>
      </w:pPr>
      <w:r>
        <w:rPr>
          <w:lang w:val="ru-RU" w:eastAsia="ru-RU" w:bidi="ru-RU"/>
          <w:w w:val="100"/>
          <w:spacing w:val="0"/>
          <w:color w:val="000000"/>
          <w:position w:val="0"/>
        </w:rPr>
        <w:t xml:space="preserve"> Департамент г. Москвы по конкурентной политике</w:t>
      </w:r>
    </w:p>
    <w:p>
      <w:pPr>
        <w:pStyle w:val="Style5"/>
        <w:widowControl w:val="0"/>
        <w:keepNext w:val="0"/>
        <w:keepLines w:val="0"/>
        <w:shd w:val="clear" w:color="auto" w:fill="auto"/>
        <w:bidi w:val="0"/>
        <w:jc w:val="left"/>
        <w:spacing w:before="0" w:after="346" w:line="317" w:lineRule="exact"/>
        <w:ind w:left="5320" w:right="360" w:firstLine="0"/>
      </w:pPr>
      <w:r>
        <w:rPr>
          <w:lang w:val="ru-RU" w:eastAsia="ru-RU" w:bidi="ru-RU"/>
          <w:w w:val="100"/>
          <w:spacing w:val="0"/>
          <w:color w:val="000000"/>
          <w:position w:val="0"/>
        </w:rPr>
        <w:t xml:space="preserve">ул. Макаренко, д. 4, стр. 1, г. Москва, 105062, </w:t>
      </w:r>
      <w:r>
        <w:fldChar w:fldCharType="begin"/>
      </w:r>
      <w:r>
        <w:rPr>
          <w:color w:val="000000"/>
        </w:rPr>
        <w:instrText> HYPERLINK "mailto:mostender@mos.ru" </w:instrText>
      </w:r>
      <w:r>
        <w:fldChar w:fldCharType="separate"/>
      </w:r>
      <w:r>
        <w:rPr>
          <w:rStyle w:val="Hyperlink"/>
          <w:lang w:val="en-US" w:eastAsia="en-US" w:bidi="en-US"/>
          <w:w w:val="100"/>
          <w:spacing w:val="0"/>
          <w:position w:val="0"/>
        </w:rPr>
        <w:t>mostender@mos.ru</w:t>
      </w:r>
      <w:r>
        <w:fldChar w:fldCharType="end"/>
      </w:r>
    </w:p>
    <w:p>
      <w:pPr>
        <w:pStyle w:val="Style5"/>
        <w:numPr>
          <w:ilvl w:val="0"/>
          <w:numId w:val="1"/>
        </w:numPr>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 xml:space="preserve"> ООО «Инжиниринг групп»</w:t>
      </w:r>
    </w:p>
    <w:p>
      <w:pPr>
        <w:pStyle w:val="Style5"/>
        <w:widowControl w:val="0"/>
        <w:keepNext w:val="0"/>
        <w:keepLines w:val="0"/>
        <w:shd w:val="clear" w:color="auto" w:fill="auto"/>
        <w:bidi w:val="0"/>
        <w:jc w:val="left"/>
        <w:spacing w:before="0" w:after="346" w:line="317" w:lineRule="exact"/>
        <w:ind w:left="5320" w:right="360" w:firstLine="0"/>
      </w:pPr>
      <w:r>
        <w:rPr>
          <w:lang w:val="ru-RU" w:eastAsia="ru-RU" w:bidi="ru-RU"/>
          <w:w w:val="100"/>
          <w:spacing w:val="0"/>
          <w:color w:val="000000"/>
          <w:position w:val="0"/>
        </w:rPr>
        <w:t xml:space="preserve">ул. Карьер, д. 2, стр. 9, пом. 16, г. Москва, 117449, </w:t>
      </w:r>
      <w:r>
        <w:fldChar w:fldCharType="begin"/>
      </w:r>
      <w:r>
        <w:rPr>
          <w:color w:val="000000"/>
        </w:rPr>
        <w:instrText> HYPERLINK "mailto:zakupki.ing@gmail.ru" </w:instrText>
      </w:r>
      <w:r>
        <w:fldChar w:fldCharType="separate"/>
      </w:r>
      <w:r>
        <w:rPr>
          <w:rStyle w:val="Hyperlink"/>
          <w:lang w:val="en-US" w:eastAsia="en-US" w:bidi="en-US"/>
          <w:w w:val="100"/>
          <w:spacing w:val="0"/>
          <w:position w:val="0"/>
        </w:rPr>
        <w:t>zakupki.ing@gmail.ru</w:t>
      </w:r>
      <w:r>
        <w:fldChar w:fldCharType="end"/>
      </w:r>
    </w:p>
    <w:p>
      <w:pPr>
        <w:pStyle w:val="Style5"/>
        <w:numPr>
          <w:ilvl w:val="0"/>
          <w:numId w:val="1"/>
        </w:numPr>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 xml:space="preserve"> АО «ЕЭТП»</w:t>
      </w:r>
    </w:p>
    <w:p>
      <w:pPr>
        <w:pStyle w:val="Style5"/>
        <w:widowControl w:val="0"/>
        <w:keepNext w:val="0"/>
        <w:keepLines w:val="0"/>
        <w:shd w:val="clear" w:color="auto" w:fill="auto"/>
        <w:bidi w:val="0"/>
        <w:jc w:val="left"/>
        <w:spacing w:before="0" w:after="300"/>
        <w:ind w:left="5320" w:right="360" w:firstLine="0"/>
      </w:pPr>
      <w:r>
        <w:rPr>
          <w:lang w:val="ru-RU" w:eastAsia="ru-RU" w:bidi="ru-RU"/>
          <w:w w:val="100"/>
          <w:spacing w:val="0"/>
          <w:color w:val="000000"/>
          <w:position w:val="0"/>
        </w:rPr>
        <w:t xml:space="preserve">60-я Октября пр., д. 9, г. Москва, 117312,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8"/>
        <w:tabs>
          <w:tab w:leader="none" w:pos="11354" w:val="right"/>
          <w:tab w:leader="none" w:pos="12406" w:val="right"/>
        </w:tabs>
        <w:widowControl w:val="0"/>
        <w:keepNext w:val="0"/>
        <w:keepLines w:val="0"/>
        <w:shd w:val="clear" w:color="auto" w:fill="auto"/>
        <w:bidi w:val="0"/>
        <w:jc w:val="left"/>
        <w:spacing w:before="0" w:after="0"/>
        <w:ind w:left="2340" w:right="2320" w:firstLine="2040"/>
      </w:pPr>
      <w:r>
        <w:rPr>
          <w:lang w:val="ru-RU" w:eastAsia="ru-RU" w:bidi="ru-RU"/>
          <w:w w:val="100"/>
          <w:spacing w:val="0"/>
          <w:color w:val="000000"/>
          <w:position w:val="0"/>
        </w:rPr>
        <w:t>РЕШЕНИЕ по делу №077/06/106-2275/2021 о нарушении законодательства о контрактной системе</w:t>
      </w:r>
    </w:p>
    <w:p>
      <w:pPr>
        <w:pStyle w:val="Style8"/>
        <w:numPr>
          <w:ilvl w:val="0"/>
          <w:numId w:val="3"/>
        </w:numPr>
        <w:tabs>
          <w:tab w:leader="none" w:pos="9034" w:val="right"/>
          <w:tab w:leader="none" w:pos="10086" w:val="right"/>
          <w:tab w:leader="none" w:pos="8890"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Члена Комиссии — 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left"/>
        <w:spacing w:before="0" w:after="0"/>
        <w:ind w:left="20" w:right="20" w:firstLine="54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ГКУ «Дирекция ОДОТСЗН г. Москвы»: А.С. Виноградова,</w:t>
      </w:r>
    </w:p>
    <w:p>
      <w:pPr>
        <w:pStyle w:val="Style3"/>
        <w:framePr w:w="1349" w:h="427" w:wrap="around" w:vAnchor="text" w:hAnchor="margin" w:x="371" w:y="54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000804840128</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Департамента г. Москвы по конкурентной политике: Е.В. Богдановой,</w:t>
      </w:r>
      <w:r>
        <w:br w:type="page"/>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ООО «Инжиниринг групп»: К.А. Александрийской,</w:t>
      </w:r>
    </w:p>
    <w:p>
      <w:pPr>
        <w:pStyle w:val="Style5"/>
        <w:widowControl w:val="0"/>
        <w:keepNext w:val="0"/>
        <w:keepLines w:val="0"/>
        <w:shd w:val="clear" w:color="auto" w:fill="auto"/>
        <w:bidi w:val="0"/>
        <w:jc w:val="both"/>
        <w:spacing w:before="0" w:after="349"/>
        <w:ind w:left="20" w:right="20" w:firstLine="540"/>
      </w:pPr>
      <w:r>
        <w:rPr>
          <w:lang w:val="ru-RU" w:eastAsia="ru-RU" w:bidi="ru-RU"/>
          <w:w w:val="100"/>
          <w:spacing w:val="0"/>
          <w:color w:val="000000"/>
          <w:position w:val="0"/>
        </w:rPr>
        <w:t>рассмотрев жалобу ООО «Инжиниринг групп» (далее - Заявитель) на действия ГКУ «Дирекция ОДОТСЗН г. Москвы» (далее-Заказчик) при проведении открытого конкурса в электронной форме на право заключения государственного контракта на оказание услуг по комплексному техническому обслуживанию инженерных систем в учреждениях, подведомственных ДТСЗН г. Москвы в 2021-2022гг (Закупка №0173200001420001914) (далее - конкурс, открытый конкурс в электронной форме)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10"/>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Заказчиком предоставлены документы и сведения, запрашиваемые письмом Московского УФАС России №ЕИ/7122/21 от 09.02.2021.</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numPr>
          <w:ilvl w:val="0"/>
          <w:numId w:val="5"/>
        </w:numPr>
        <w:tabs>
          <w:tab w:leader="none" w:pos="999" w:val="left"/>
        </w:tabs>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Заявитель в жалобе указывает на то, что опубликованные в ходе осуществления закупки протокол рассмотрения и оценки вторых частей заявок на участие в открытом конкурсе в электронной форме от 01.02.2021 №ПРОП1 и протокол подведения итогов открытого конкурса в электронной форме от</w:t>
      </w:r>
    </w:p>
    <w:p>
      <w:pPr>
        <w:pStyle w:val="Style5"/>
        <w:numPr>
          <w:ilvl w:val="0"/>
          <w:numId w:val="7"/>
        </w:numPr>
        <w:tabs>
          <w:tab w:leader="none" w:pos="1532"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№ППИ1 составлены в нарушение положений ст.54.7 Закона о контрактной системе, поскольку не содержат обоснования принятого членом комиссии решения о несоответствии заявки ООО «Системные решения».</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Согласно ч.7 ст.54.7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pPr>
        <w:pStyle w:val="Style5"/>
        <w:numPr>
          <w:ilvl w:val="0"/>
          <w:numId w:val="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о месте, дате, времени рассмотрения и оценки вторых частей заявок на участие в открытом конкурсе в электронной форме;</w:t>
      </w:r>
    </w:p>
    <w:p>
      <w:pPr>
        <w:pStyle w:val="Style5"/>
        <w:numPr>
          <w:ilvl w:val="0"/>
          <w:numId w:val="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об участниках открытого конкурса в электронной форме, заявки которых на участие в открытом конкурсе в электронной форме были рассмотрены;</w:t>
      </w:r>
    </w:p>
    <w:p>
      <w:pPr>
        <w:pStyle w:val="Style5"/>
        <w:numPr>
          <w:ilvl w:val="0"/>
          <w:numId w:val="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w:t>
      </w:r>
    </w:p>
    <w:p>
      <w:pPr>
        <w:pStyle w:val="Style5"/>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pPr>
        <w:pStyle w:val="Style5"/>
        <w:numPr>
          <w:ilvl w:val="0"/>
          <w:numId w:val="9"/>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pPr>
        <w:pStyle w:val="Style5"/>
        <w:numPr>
          <w:ilvl w:val="0"/>
          <w:numId w:val="9"/>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п.3 ч.1 ст.32 Закона о контрактной системе.</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В силу ч.12 ст.54.7 Закона о контрактной системе протокол подведения итогов открытого конкурса в электронной форме должен содержать информацию:</w:t>
      </w:r>
    </w:p>
    <w:p>
      <w:pPr>
        <w:pStyle w:val="Style5"/>
        <w:numPr>
          <w:ilvl w:val="0"/>
          <w:numId w:val="11"/>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об участниках открытого конкурса в электронной форме, заявки на участие в таком конкурсе которых были рассмотрены;</w:t>
      </w:r>
    </w:p>
    <w:p>
      <w:pPr>
        <w:pStyle w:val="Style5"/>
        <w:numPr>
          <w:ilvl w:val="0"/>
          <w:numId w:val="11"/>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ч.10 ст.54.4 Закона о контрактной системе),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pPr>
        <w:pStyle w:val="Style5"/>
        <w:numPr>
          <w:ilvl w:val="0"/>
          <w:numId w:val="11"/>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p>
    <w:p>
      <w:pPr>
        <w:pStyle w:val="Style5"/>
        <w:numPr>
          <w:ilvl w:val="0"/>
          <w:numId w:val="11"/>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соответствуют этим требованиям;</w:t>
      </w:r>
    </w:p>
    <w:p>
      <w:pPr>
        <w:pStyle w:val="Style5"/>
        <w:numPr>
          <w:ilvl w:val="0"/>
          <w:numId w:val="11"/>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о решении каждого присутствующего члена конкурсной комиссии в отношении заявки на участие в открытом конкурсе в электронной форме каждого</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его участника;</w:t>
      </w:r>
    </w:p>
    <w:p>
      <w:pPr>
        <w:pStyle w:val="Style5"/>
        <w:numPr>
          <w:ilvl w:val="0"/>
          <w:numId w:val="11"/>
        </w:numPr>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 xml:space="preserve">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pPr>
        <w:pStyle w:val="Style5"/>
        <w:numPr>
          <w:ilvl w:val="0"/>
          <w:numId w:val="11"/>
        </w:numPr>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 xml:space="preserve">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pPr>
        <w:pStyle w:val="Style5"/>
        <w:numPr>
          <w:ilvl w:val="0"/>
          <w:numId w:val="11"/>
        </w:numPr>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 xml:space="preserve">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p>
    <w:p>
      <w:pPr>
        <w:pStyle w:val="Style5"/>
        <w:numPr>
          <w:ilvl w:val="0"/>
          <w:numId w:val="11"/>
        </w:numPr>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 xml:space="preserve">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Комиссией Управления установлено, что согласно протоколу рассмотрения и оценки вторых частей заявок на участие в открытом конкурсе в электронной форме от 01.02.2021 №ПРОП1 кворумом конкурсной комиссии было принято решение о признании заявки ООО «Системные решения» соответствующей требованиям законодательства о контрактной системе, при этом членом комиссии Е.В. Дроздовым принято решение о несоответствии такой заявки, что отражено в составе протокола в виде «Не соответствует». Аналогичная информация содержится в протоколе подведения итогов открытого конкурса в электронной форме от 02.02.2021 №ППИ1.</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Вместе с тем Комиссия Управления отмечает, что подобное отражение в составе протоколов решения одного из членов конкурсной комиссии о признании заявки участника закупки несоответствующей нарушает положения ч.7, ч.12 ст.54.7 Закона о контрактной системе, поскольку не содержит в себе исчерпывающий перечень сведений, предусмотренный ст.54.7 Закона о контрактной системе, а именно информацию относительно причин признания заявки участника закупки ООО «Системные решения» несоответствующей положениям законодательства о контрактной системе.</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Между тем,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 Кроме того, такая информация должна детально раскрывать информацию о порядке осуществления закупки: какие заявки и на основании каких сведений по мнению членов комиссии подлежали признанию несоответствующими требованиям законодательства.</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Таким образом, Комиссия Управления приходит к выводу об обоснованности указанного довода жалобы и нарушении ч.7, ч.12 ст.54.7 Закона о контрактной системе, поскольку опубликованные протоколы не содержат в себе исчерпывающий перечень сведений, предусмотренный ст.54.7 Закона о контрактной системе.</w:t>
      </w:r>
    </w:p>
    <w:p>
      <w:pPr>
        <w:pStyle w:val="Style5"/>
        <w:numPr>
          <w:ilvl w:val="0"/>
          <w:numId w:val="5"/>
        </w:numPr>
        <w:tabs>
          <w:tab w:leader="none" w:pos="855" w:val="left"/>
        </w:tabs>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По мнению Заявителя, конкурсной комиссией Заказчика нарушен порядок оценки конкурсной заявки ООО «Системные решения» по показателю «Опыт участника по успешному оказанию услуг сопоставимого характера и объема» нестоимостного критерия оценки заявок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В силу п.8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В соответствии с п.11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по каждому критерию оценки используется 100-балльная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13"/>
        </w:numPr>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13"/>
        </w:numPr>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13"/>
        </w:numPr>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Соблюдение вышеуказанных положений в совокупности позволит обеспечить применение предусмотренной п.11 Правил 100-балльной шкалы по критерию (обеспечивается возможность присвоить лучшему предложению по критерию оценку в 100 баллов).</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В силу ч.6 ст.54.7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п.3 и п.4 ч.1 ст.32 Закона о контрактной системе критериями оценки этих заявок, окончательных предложений.</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Таким образом, предмет жалобы о присвоении результатов оценки по нестомостному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открытом конкурсе.</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Комиссией Управления установлено, что Заказчиком в конкурсной документации утвержден следующий порядок оценки в отношении показателя «Опыт участника по успешному оказанию услуг сопоставимого характера и объема» нестоимостного критерия оценки заявок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ind w:left="0" w:right="0" w:firstLine="520"/>
      </w:pPr>
      <w:r>
        <w:rPr>
          <w:lang w:val="ru-RU" w:eastAsia="ru-RU" w:bidi="ru-RU"/>
          <w:w w:val="100"/>
          <w:spacing w:val="0"/>
          <w:color w:val="000000"/>
          <w:position w:val="0"/>
        </w:rPr>
        <w:t>Величина значимости: 100</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Содержание: Оценивается предложение участника о суммарном объеме оказанных услуг, исчисляемом в рублях, по успешно исполненным участником государственным контрактам, заключенным в соответствии с Федеральным законом от 05.04.2013 № 44-ФЗ, гражданско-правовым договорам, заключенным в соответствии с Федеральным законом от 18.07.2011 № 223-ФЗ. При этом указанные контракты должны быть заключены за последние 3 года до даты окончания срока подачи заявок на участие в закупке.</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Опыт участника по успешному оказанию услуг сопоставимого характера и объема подтверждается следующими документами:</w:t>
      </w:r>
    </w:p>
    <w:p>
      <w:pPr>
        <w:pStyle w:val="Style5"/>
        <w:numPr>
          <w:ilvl w:val="0"/>
          <w:numId w:val="15"/>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копия ранее исполненного контракта на оказание услуг сопоставимого характера и объема;</w:t>
      </w:r>
    </w:p>
    <w:p>
      <w:pPr>
        <w:pStyle w:val="Style5"/>
        <w:numPr>
          <w:ilvl w:val="0"/>
          <w:numId w:val="15"/>
        </w:numPr>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 копия акта(ов) сдачи-приемки оказанных услуг, подтверждающего(их) приемку услуг по исполнению контракта или копия итогового акта сдачи-приемки оказанных услуг, содержащего(их) сведения о стоимости оказанных услуг.</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 При этом представленные документы должны быть в виде неповторяющихся, полночитаемых копий, на которых видны необходимые сведения, позволяющие определить стороны контракта, дату заключения контракта, предмет контракта, цену контракта, подписи и печати (при наличии). Непредоставление в составе заявки таких документов не является основанием для отказа в допуске к участию в закупке, однако при оценке заявок по настоящему показателю комиссией будут учитываться только те сведения, заявленные участниками закупки, которые подтверждены документально в составе заявки.</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Представленные участником закупки контракты, исполнение которых не подтверждено документально, не учитываются при оценке. Датой исполнения контракта считается дата акта сдачи-приемки оказанных услуг или итогового акта сдачи-приемки оказанных услуг, подтверждающего приемку услуг по исполненному контракту.</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Под успешным оказанием услуг понимается исполнение участником закупки контрактов в соответствии с условиями, установленными в контрактах, без применения к такому участнику неустоек (штрафов, пеней).</w:t>
      </w:r>
    </w:p>
    <w:p>
      <w:pPr>
        <w:pStyle w:val="Style5"/>
        <w:widowControl w:val="0"/>
        <w:keepNext w:val="0"/>
        <w:keepLines w:val="0"/>
        <w:shd w:val="clear" w:color="auto" w:fill="auto"/>
        <w:bidi w:val="0"/>
        <w:jc w:val="both"/>
        <w:spacing w:before="0" w:after="0"/>
        <w:ind w:left="0" w:right="0" w:firstLine="520"/>
      </w:pPr>
      <w:r>
        <w:rPr>
          <w:lang w:val="ru-RU" w:eastAsia="ru-RU" w:bidi="ru-RU"/>
          <w:w w:val="100"/>
          <w:spacing w:val="0"/>
          <w:color w:val="000000"/>
          <w:position w:val="0"/>
        </w:rPr>
        <w:t>Заказчик, уполномоченный орган вправе запросить у соответствующих органов и организаций информацию об успешном оказании услуг по исполнению участником закупки контракта без применения к такому участнику неустоек (штрафов, пеней).</w:t>
      </w:r>
    </w:p>
    <w:p>
      <w:pPr>
        <w:pStyle w:val="Style12"/>
        <w:widowControl w:val="0"/>
        <w:keepNext w:val="0"/>
        <w:keepLines w:val="0"/>
        <w:shd w:val="clear" w:color="auto" w:fill="auto"/>
        <w:bidi w:val="0"/>
        <w:spacing w:before="0" w:after="0"/>
        <w:ind w:left="0" w:right="20"/>
      </w:pPr>
      <w:r>
        <w:rPr>
          <w:lang w:val="ru-RU" w:eastAsia="ru-RU" w:bidi="ru-RU"/>
          <w:w w:val="100"/>
          <w:spacing w:val="0"/>
          <w:color w:val="000000"/>
          <w:position w:val="0"/>
        </w:rPr>
        <w:t>Под услугами сопоставимого характера понимаются услуги по комплексному техническому обслуживанию инженерных систем.</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Под услугами сопоставимого объема понимаются услуги, оказанные по контрактам, где цена одного контракта составляет не менее 20 процентов начальной (максимальной) цены контракта, на право заключить который проводится закупка.</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 xml:space="preserve">В случае если контракты заключены в электронной форме, опыт может быть подтвержден размещенными на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опыта участника закупки по успешной поставке товара, выполнению работ, оказанию услуг сопоставимого характера и объема», содержащей данные о реестровом номере закупки, номере контракта, дате заключения, предмете, сумме контракта, дате исполнения контракта.</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Рекомендуемая форма «Сводные сведения о наличии опыта участника закупки по успешной поставке товара, выполнению работ, оказанию услуг сопоставимого характера и объема» приведена в Приложении № 1 к настоящим критериям оценки заявок участников закупки.</w:t>
      </w:r>
    </w:p>
    <w:p>
      <w:pPr>
        <w:pStyle w:val="Style5"/>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 </w:t>
      </w:r>
      <w:r>
        <w:rPr>
          <w:lang w:val="en-US" w:eastAsia="en-US" w:bidi="en-US"/>
          <w:w w:val="100"/>
          <w:spacing w:val="0"/>
          <w:color w:val="000000"/>
          <w:position w:val="0"/>
        </w:rPr>
        <w:t>zakupki.gov.ru.</w:t>
      </w:r>
    </w:p>
    <w:p>
      <w:pPr>
        <w:pStyle w:val="Style5"/>
        <w:widowControl w:val="0"/>
        <w:keepNext w:val="0"/>
        <w:keepLines w:val="0"/>
        <w:shd w:val="clear" w:color="auto" w:fill="auto"/>
        <w:bidi w:val="0"/>
        <w:jc w:val="both"/>
        <w:spacing w:before="0" w:after="0"/>
        <w:ind w:left="0" w:right="0" w:firstLine="520"/>
      </w:pPr>
      <w:r>
        <w:rPr>
          <w:lang w:val="ru-RU" w:eastAsia="ru-RU" w:bidi="ru-RU"/>
          <w:w w:val="100"/>
          <w:spacing w:val="0"/>
          <w:color w:val="000000"/>
          <w:position w:val="0"/>
        </w:rPr>
        <w:t>Порядок оценки:</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Оценка заявок по указанному показателю осуществляется в соответствии с п. 23 Правил.</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Количество баллов, присуждаемых по критерию оценки (показателю) (</w:t>
      </w:r>
      <w:r>
        <w:rPr>
          <w:rStyle w:val="CharStyle14"/>
        </w:rPr>
        <w:t>НЦБ</w:t>
      </w:r>
      <w:r>
        <w:rPr>
          <w:rStyle w:val="CharStyle15"/>
        </w:rPr>
        <w:t>1</w:t>
      </w:r>
      <w:r>
        <w:rPr>
          <w:lang w:val="ru-RU" w:eastAsia="ru-RU" w:bidi="ru-RU"/>
          <w:w w:val="100"/>
          <w:spacing w:val="0"/>
          <w:color w:val="000000"/>
          <w:position w:val="0"/>
        </w:rPr>
        <w:t>), определяется по формуле:</w:t>
      </w:r>
    </w:p>
    <w:p>
      <w:pPr>
        <w:pStyle w:val="Style5"/>
        <w:widowControl w:val="0"/>
        <w:keepNext w:val="0"/>
        <w:keepLines w:val="0"/>
        <w:shd w:val="clear" w:color="auto" w:fill="auto"/>
        <w:bidi w:val="0"/>
        <w:jc w:val="both"/>
        <w:spacing w:before="0" w:after="0"/>
        <w:ind w:left="0" w:right="0" w:firstLine="520"/>
      </w:pPr>
      <w:r>
        <w:rPr>
          <w:rStyle w:val="CharStyle16"/>
        </w:rPr>
        <w:t>HURi</w:t>
      </w:r>
      <w:r>
        <w:rPr>
          <w:lang w:val="en-US" w:eastAsia="en-US" w:bidi="en-US"/>
          <w:w w:val="100"/>
          <w:spacing w:val="0"/>
          <w:color w:val="000000"/>
          <w:position w:val="0"/>
        </w:rPr>
        <w:t xml:space="preserve"> </w:t>
      </w:r>
      <w:r>
        <w:rPr>
          <w:lang w:val="ru-RU" w:eastAsia="ru-RU" w:bidi="ru-RU"/>
          <w:w w:val="100"/>
          <w:spacing w:val="0"/>
          <w:color w:val="000000"/>
          <w:position w:val="0"/>
        </w:rPr>
        <w:t xml:space="preserve">= КЗ </w:t>
      </w:r>
      <w:r>
        <w:rPr>
          <w:lang w:val="en-US" w:eastAsia="en-US" w:bidi="en-US"/>
          <w:w w:val="100"/>
          <w:spacing w:val="0"/>
          <w:color w:val="000000"/>
          <w:position w:val="0"/>
        </w:rPr>
        <w:t xml:space="preserve">x </w:t>
      </w:r>
      <w:r>
        <w:rPr>
          <w:lang w:val="ru-RU" w:eastAsia="ru-RU" w:bidi="ru-RU"/>
          <w:w w:val="100"/>
          <w:spacing w:val="0"/>
          <w:color w:val="000000"/>
          <w:position w:val="0"/>
        </w:rPr>
        <w:t xml:space="preserve">100 </w:t>
      </w:r>
      <w:r>
        <w:rPr>
          <w:lang w:val="en-US" w:eastAsia="en-US" w:bidi="en-US"/>
          <w:w w:val="100"/>
          <w:spacing w:val="0"/>
          <w:color w:val="000000"/>
          <w:position w:val="0"/>
        </w:rPr>
        <w:t xml:space="preserve">x </w:t>
      </w:r>
      <w:r>
        <w:rPr>
          <w:lang w:val="ru-RU" w:eastAsia="ru-RU" w:bidi="ru-RU"/>
          <w:w w:val="100"/>
          <w:spacing w:val="0"/>
          <w:color w:val="000000"/>
          <w:position w:val="0"/>
        </w:rPr>
        <w:t>(К / Ктах),</w:t>
      </w:r>
    </w:p>
    <w:p>
      <w:pPr>
        <w:pStyle w:val="Style5"/>
        <w:widowControl w:val="0"/>
        <w:keepNext w:val="0"/>
        <w:keepLines w:val="0"/>
        <w:shd w:val="clear" w:color="auto" w:fill="auto"/>
        <w:bidi w:val="0"/>
        <w:jc w:val="both"/>
        <w:spacing w:before="0" w:after="0"/>
        <w:ind w:left="0" w:right="0" w:firstLine="520"/>
      </w:pPr>
      <w:r>
        <w:rPr>
          <w:lang w:val="ru-RU" w:eastAsia="ru-RU" w:bidi="ru-RU"/>
          <w:w w:val="100"/>
          <w:spacing w:val="0"/>
          <w:color w:val="000000"/>
          <w:position w:val="0"/>
        </w:rPr>
        <w:t>где:</w:t>
      </w:r>
    </w:p>
    <w:p>
      <w:pPr>
        <w:pStyle w:val="Style5"/>
        <w:widowControl w:val="0"/>
        <w:keepNext w:val="0"/>
        <w:keepLines w:val="0"/>
        <w:shd w:val="clear" w:color="auto" w:fill="auto"/>
        <w:bidi w:val="0"/>
        <w:jc w:val="both"/>
        <w:spacing w:before="0" w:after="0"/>
        <w:ind w:left="0" w:right="0" w:firstLine="520"/>
      </w:pPr>
      <w:r>
        <w:rPr>
          <w:lang w:val="ru-RU" w:eastAsia="ru-RU" w:bidi="ru-RU"/>
          <w:w w:val="100"/>
          <w:spacing w:val="0"/>
          <w:color w:val="000000"/>
          <w:position w:val="0"/>
        </w:rPr>
        <w:t>КЗ - коэффициент значимости показателя, КЗ=1;</w:t>
      </w:r>
    </w:p>
    <w:p>
      <w:pPr>
        <w:pStyle w:val="Style5"/>
        <w:widowControl w:val="0"/>
        <w:keepNext w:val="0"/>
        <w:keepLines w:val="0"/>
        <w:shd w:val="clear" w:color="auto" w:fill="auto"/>
        <w:bidi w:val="0"/>
        <w:jc w:val="both"/>
        <w:spacing w:before="0" w:after="0"/>
        <w:ind w:left="0" w:right="20" w:firstLine="520"/>
      </w:pPr>
      <w:r>
        <w:rPr>
          <w:lang w:val="ru-RU" w:eastAsia="ru-RU" w:bidi="ru-RU"/>
          <w:w w:val="100"/>
          <w:spacing w:val="0"/>
          <w:color w:val="000000"/>
          <w:position w:val="0"/>
        </w:rPr>
        <w:t>К - предложение участника закупки по показателю «Опыт участника по успешному оказанию услуг сопоставимого характера и объема», заявка (предложение) которого оценивается;</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Ктах - максимальное предложение по показателю «Опыт участника по успешному оказанию услуг сопоставимого характера и объема» из предложений по показателю критерия оценки, сделанных участниками закупки.</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Оценка в 0 баллов будет присвоена:</w:t>
      </w:r>
    </w:p>
    <w:p>
      <w:pPr>
        <w:pStyle w:val="Style5"/>
        <w:numPr>
          <w:ilvl w:val="0"/>
          <w:numId w:val="17"/>
        </w:numPr>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 xml:space="preserve"> участнику, который не представит предложение по показателю;</w:t>
      </w:r>
    </w:p>
    <w:p>
      <w:pPr>
        <w:pStyle w:val="Style5"/>
        <w:numPr>
          <w:ilvl w:val="0"/>
          <w:numId w:val="17"/>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участнику, который не имеет опыта по успешному оказанию услуг сопоставимого характера и объема;</w:t>
      </w:r>
    </w:p>
    <w:p>
      <w:pPr>
        <w:pStyle w:val="Style5"/>
        <w:numPr>
          <w:ilvl w:val="0"/>
          <w:numId w:val="17"/>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участнику, который не представит в составе своей заявки копии документов, подтверждающих предоставленные сведения о наличии опыта по успешному оказанию услуг сопоставимого характера и объема за указанный в показателе период».</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На заседании Комиссии Управления представитель Заявителя пояснил, что конкурсной комиссией Заказчика неправомерно учтены сведения о наличии опыта исполнения контрактов (договоров) на общую сумму 694 547 862,88 руб., поскольку представленный в составе заявки ООО «Системные решения» опыт не соответствует требованиям сопоставимости.</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Так, согласно сведениям из реестра контрактов, заключенных в рамках положений Закона о контрактной системе, ООО «Системные решения» заключен единственный контракт на 95 466 262,37 руб. на оказание услуг по комплексному техническому обслуживанию инженерных систем, соответствующий требованиям утвержденного порядка оценки.</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На заседании Комиссии Управления представитель Заказчика пояснил, что в составе заявки участника закупки ООО «Системные решения» приложены сведения о наличии опыта исполнения контрактов (договоров) на общую сумму 1 016 882 870,91 руб., при этом конкурсной комиссией приняты к учету контракты на сумму 694 547 862,88 руб., а именно:</w:t>
      </w:r>
    </w:p>
    <w:p>
      <w:pPr>
        <w:pStyle w:val="Style5"/>
        <w:numPr>
          <w:ilvl w:val="0"/>
          <w:numId w:val="19"/>
        </w:numPr>
        <w:tabs>
          <w:tab w:leader="none" w:pos="885" w:val="left"/>
        </w:tabs>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Контракт № 680-19-ЭКСПЛ/К от 15.07.2019 на оказание услуг по эксплуатации и техническому обслуживанию ТЭУ, ИТП, ЦТП, наружных ТС и иного технологического оборудования, связанного с переработкой, передачей, учетом, регулировкой тепловой энергии и других сетей инженерных коммуникаций, мероприятиям восстановительного характера, в целях поддержания ресурсоснабжения и обеспечения полноценного и бесперебойного функционирования медицинских организаций, подведомственных Департаменту здравоохранения города Москвы (закупка № 0173200001419000680);</w:t>
      </w:r>
    </w:p>
    <w:p>
      <w:pPr>
        <w:pStyle w:val="Style5"/>
        <w:numPr>
          <w:ilvl w:val="0"/>
          <w:numId w:val="19"/>
        </w:numPr>
        <w:tabs>
          <w:tab w:leader="none" w:pos="3436" w:val="center"/>
          <w:tab w:leader="none" w:pos="4322" w:val="lef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Контракт № 832-18-ТР от 13.08.2018 на реализацию комплекса мероприятий по поддержанию ресурсоснабжения и обеспечению полноценного бесперебойного функционирования учреждений, подведомственных Департаменту здравоохранения города Москвы, в</w:t>
        <w:tab/>
        <w:t>части систем</w:t>
        <w:tab/>
        <w:t>и сетей ресурсоснабжения, в соответствии с</w:t>
      </w:r>
    </w:p>
    <w:p>
      <w:pPr>
        <w:pStyle w:val="Style5"/>
        <w:tabs>
          <w:tab w:leader="none" w:pos="3436" w:val="center"/>
          <w:tab w:leader="none" w:pos="4276" w:val="left"/>
          <w:tab w:leader="none" w:pos="10209"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территориальным</w:t>
        <w:tab/>
        <w:t>признаком</w:t>
        <w:tab/>
        <w:t>объектов</w:t>
        <w:tab/>
        <w:t>подведомственных Департаменту</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здравоохранения г. Москвы в 2018г. (закупка № 0173200001418000832);</w:t>
      </w:r>
    </w:p>
    <w:p>
      <w:pPr>
        <w:pStyle w:val="Style5"/>
        <w:numPr>
          <w:ilvl w:val="0"/>
          <w:numId w:val="19"/>
        </w:numPr>
        <w:tabs>
          <w:tab w:leader="none" w:pos="3436" w:val="center"/>
          <w:tab w:leader="none" w:pos="4276" w:val="left"/>
          <w:tab w:leader="none" w:pos="10209" w:val="righ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Контракт № 467-18-ЭКСПЛ/Т от 06.02.2018 на оказание услуг по эксплуатации и техническому обслуживанию ТЭУ, ИТП, ЦТП, наружных ТС и иного технологического оборудования, связанного с переработкой, передачей, учетом, регулировкой тепловой энергии и других сетей инженерных коммуникаций, в целях поддержания ресурсоснабжения и обеспечения полноценного и бесперебойного функционирования</w:t>
        <w:tab/>
        <w:t>объектов</w:t>
        <w:tab/>
        <w:t>лечебных</w:t>
        <w:tab/>
        <w:t>учреждений, подведомственных</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Департаменту здравоохранения города Москвы (закупка № 0173200001417001467);</w:t>
      </w:r>
    </w:p>
    <w:p>
      <w:pPr>
        <w:pStyle w:val="Style5"/>
        <w:numPr>
          <w:ilvl w:val="0"/>
          <w:numId w:val="19"/>
        </w:numPr>
        <w:tabs>
          <w:tab w:leader="none" w:pos="4276" w:val="left"/>
          <w:tab w:leader="none" w:pos="10209" w:val="righ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Контракт № 466-18-ЭКСПЛ/К от 07.02.2018 на оказание услуг по эксплуатации и техническому обслуживанию угольных и газовых котельных и иного технологического оборудования</w:t>
        <w:tab/>
        <w:t>в целях</w:t>
        <w:tab/>
        <w:t>поддержания ресурсоснабжения и</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обеспечения полноценного и бесперебойного функционирования объектов ГКУ «Соцэнерго» (закупка № 0173200001417001466).</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Помимо этого согласно возражениям Заказчика контракт № 069-ЭКСПЛ от 16.08.2017 на оказание услуг по эксплуатации и техническому обслуживанию газовых и угольных котельных, тепловых энергоустановок, индивидуальных тепловых пунктов, центральных тепловых пунктов и иного технологического оборудования, связанного с переработкой, учетом и регулировкой тепловой энергии, в целях поддержания ресурсоснабжения и обеспечения полноценного и бесперебойного функционирования объектов, подведомственных Департаменту здравоохранения города Москвы (закупка №0173200001417000625) не подлежал учету в рамках оценки заявки ООО «Системные решения», поскольку не отвечал требования порядка оценки в части срока давности заключения.</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При этом содержание видов работ и предметы представленных контрактов, по мнению Заказчика, отвечают требованиям сопоставимости, под которой понимаются услуги по комплексному техническому обслуживанию инженерных систем.</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Комиссией Управления установлено, что согласно, например, контракту № 680-19-ЭКСПЛ/К от 15.07.2019 ООО «Системные решения» оказаны услуги по эксплуатации и техническому обслуживанию тепловых энергоустановок, индивидуальных и центральных теплопунктов, и иного технологического оборудования, связанного с переработкой, передачей, учетом, регулировкой тепловой энергии и других сетей инженерных коммуникаций, которые согласно положениям Федерального закона от 30.12.2009 № 384-ФЗ «Технический регламент о безопасности зданий и сооружений» могут быть отнесены к системам инженерно-технического обеспечения.</w:t>
      </w:r>
    </w:p>
    <w:p>
      <w:pPr>
        <w:pStyle w:val="Style5"/>
        <w:tabs>
          <w:tab w:leader="none" w:pos="6015" w:val="right"/>
          <w:tab w:leader="none" w:pos="10201" w:val="right"/>
        </w:tabs>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На заседании Комиссии Управления представителем Заявителя не представлено документов и сведений, свидетельствующих об обоснованности указанного довода жалобы,</w:t>
        <w:tab/>
        <w:t>а также</w:t>
        <w:tab/>
        <w:t>однозначно подтверждающих</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несопоставимость представленного участником закупки опыта, предусматривающего эксплуатацию и техническое обслуживание ТЭУ, ИТП, ЦТП, иного технологического оборудования, направленного на поддержание и обеспечению полноценного бесперебойного функционирования учреждений.</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Таким образом, Комиссия Управления приходит к выводу о том, что указанный довод жалобы не нашел своего подтверждения и является необоснованным.</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Вместе с тем в ходе проведения внеплановой проверки с учетом озвученного представителем Заказчика на заседании Комиссии Управления обоснования решения члена конкурсной комиссии Заказчика Е.В. Дроздова о несоответствии заявки ООО «Системные решения» требованиям Закона о контрактной системе Комиссией Управления установлено следующее.</w:t>
      </w:r>
    </w:p>
    <w:p>
      <w:pPr>
        <w:pStyle w:val="Style5"/>
        <w:tabs>
          <w:tab w:leader="none" w:pos="2953" w:val="left"/>
        </w:tabs>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силу п.4 ч.11 ст.24.1 Закона о контрактной системе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ч.2</w:t>
        <w:tab/>
        <w:t>ст.24.1 Закона о контрактной системе, обеспечивает</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предоставление заказчику в сроки и случаях, установленных Законом о контрактной системе, решения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pPr>
        <w:pStyle w:val="Style5"/>
        <w:tabs>
          <w:tab w:leader="none" w:pos="7940" w:val="left"/>
        </w:tabs>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Согласно ч.1 ст.54.7 Закона о контрактной системе в течение одного часа с момента формирования протокола, предусмотренного ч.7</w:t>
        <w:tab/>
        <w:t>ст.54.6 Закона о</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контрактной системе,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частью 11 статьи 24.1 Закона о контрактной системе.</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Комиссией Управления установлено, что в составе аккредитационных документов участника закупки ООО «Системные решения» представлено решение об одобрении сделок по результатам совершаемых участником электронных процедур от 14.10.2020, максимальная сумма одной сделки не должна превышать 100 000 000,00 руб., что не покрывает стоимость заключаемого контракта. Срок действия решения — до 31.12.2021 включительно.</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Также в составе второй части заявки участником закупки приложено решение об одобрении крупной сделки от 20.01.2021 с ГКУ «Дирекция ОДОТСЗН г. Москвы» на сумму, не превышающую 368 502 884,96 руб. Данное решение составлено обществом в соответствии с положениями Федерального закона от 08.02.1998 №14- ФЗ «Об обществах с ограниченной ответственностью» и ст.157.1 Гражданского кодекса Российской Федерации. При этом необходимо отметить, что требованиями ч.6 ст.54.4 Закона о контрактной системе, устанавливающей состав второй части заявки на участие в электронном конкурсе, не предусмотрена необходимость представления решения об одобрении крупной сделки.</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В то же самое время исходя из вышеупомянутой нормы п.4 ч.11 ст.24.1 Закона о контрактной системе решение об одобрении или о совершении по результатам электронных процедур сделок от имени участника - юридического лица с указанием параметров условий одной сделки является процедурным документом, необходимым для аккредитации на электронной площадке, и представляемым оператором электронной площадки как приложение ко второй части заявки участника, то есть такое решение необходимо любому участнику электронных закупок.</w:t>
      </w:r>
    </w:p>
    <w:p>
      <w:pPr>
        <w:pStyle w:val="Style5"/>
        <w:tabs>
          <w:tab w:leader="none" w:pos="3756" w:val="right"/>
          <w:tab w:leader="none" w:pos="3899" w:val="left"/>
          <w:tab w:leader="none" w:pos="5018" w:val="left"/>
          <w:tab w:leader="none" w:pos="7774" w:val="left"/>
          <w:tab w:leader="none" w:pos="10190" w:val="right"/>
        </w:tabs>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При этом нормами ст.46 Федерального закона от 08.02.1998 №14-ФЗ «Об обществах с ограниченной ответственностью» предусмотрено решение, которое предоставляется обществом в целях соответствия требованиям законодательства в случае, если</w:t>
        <w:tab/>
        <w:t>сделка для</w:t>
        <w:tab/>
        <w:t>общества</w:t>
        <w:tab/>
        <w:t>является крупной,</w:t>
        <w:tab/>
        <w:t>то</w:t>
        <w:tab/>
        <w:t>есть обладает</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определенными упомянутым законом признаками.</w:t>
      </w:r>
    </w:p>
    <w:p>
      <w:pPr>
        <w:pStyle w:val="Style5"/>
        <w:tabs>
          <w:tab w:leader="none" w:pos="3829" w:val="left"/>
          <w:tab w:leader="none" w:pos="5004" w:val="left"/>
          <w:tab w:leader="none" w:pos="7774" w:val="left"/>
        </w:tabs>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Таким образом, в ч.11 ст.24.1 Закона о контрактной системе речь идет об ином документе, нежели упомянуто в ст.46 Федерального закона от 08.02.1998 №14-ФЗ «Об обществах с ограниченной ответственностью» и ст.157.1 Гражданского кодекса Российской Федерации, и</w:t>
        <w:tab/>
        <w:t>подмена</w:t>
        <w:tab/>
        <w:t>содержания одного</w:t>
        <w:tab/>
        <w:t>документа другим</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документом не может считаться равнозначной.</w:t>
      </w:r>
    </w:p>
    <w:p>
      <w:pPr>
        <w:pStyle w:val="Style5"/>
        <w:tabs>
          <w:tab w:leader="none" w:pos="3756" w:val="right"/>
          <w:tab w:leader="none" w:pos="3899" w:val="left"/>
          <w:tab w:leader="none" w:pos="5004" w:val="left"/>
          <w:tab w:leader="none" w:pos="7774" w:val="left"/>
          <w:tab w:leader="none" w:pos="10190" w:val="right"/>
        </w:tabs>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В данном конкретном случае участником закупки исполнены требования Федерального закона от 08.02.1998 №14-ФЗ «Об обществах с ограниченной ответственностью» посредством представления решения об одобрении крупной сделки в составе второй части заявки на свое собственное усмотрение, однако не исполнены требования п.4 ч.11 ст.24.1 Закона о контрактной системе в части представления</w:t>
        <w:tab/>
        <w:t>надлежащего</w:t>
        <w:tab/>
        <w:t>решения</w:t>
        <w:tab/>
        <w:t>об одобрении или</w:t>
        <w:tab/>
        <w:t>о</w:t>
        <w:tab/>
        <w:t>совершении по</w:t>
      </w:r>
    </w:p>
    <w:p>
      <w:pPr>
        <w:pStyle w:val="Style5"/>
        <w:tabs>
          <w:tab w:leader="none" w:pos="3756" w:val="right"/>
          <w:tab w:leader="none" w:pos="3904" w:val="left"/>
          <w:tab w:leader="none" w:pos="10190"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результатам электронных процедур сделок от имени участника - юридического лица с указанием</w:t>
        <w:tab/>
        <w:t>надлежащей</w:t>
        <w:tab/>
        <w:t>информации о максимальной</w:t>
        <w:tab/>
        <w:t>сумме сделки,</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соответствующей цене рассматриваемой закупки.</w:t>
      </w:r>
    </w:p>
    <w:p>
      <w:pPr>
        <w:pStyle w:val="Style5"/>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Согласно подпункту «с» пункта 5 Правил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(далее - ЕИС) и ведения единого реестра участников закупок, утвержденных постановлением Правительства Российской Федерации от 30.12.2018 № 1752 (далее — Правила регистрации и ведения реестра), решение (копию решения) о согласии на совершение крупных сделок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 предоставляется участником при регистрации в ЕИС.</w:t>
      </w:r>
    </w:p>
    <w:p>
      <w:pPr>
        <w:pStyle w:val="Style5"/>
        <w:widowControl w:val="0"/>
        <w:keepNext w:val="0"/>
        <w:keepLines w:val="0"/>
        <w:shd w:val="clear" w:color="auto" w:fill="auto"/>
        <w:bidi w:val="0"/>
        <w:jc w:val="both"/>
        <w:spacing w:before="0" w:after="0"/>
        <w:ind w:left="20" w:right="0" w:firstLine="520"/>
      </w:pPr>
      <w:r>
        <w:rPr>
          <w:lang w:val="ru-RU" w:eastAsia="ru-RU" w:bidi="ru-RU"/>
          <w:w w:val="100"/>
          <w:spacing w:val="0"/>
          <w:color w:val="000000"/>
          <w:position w:val="0"/>
        </w:rPr>
        <w:t>На основании ч.1 ст.24.2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pPr>
        <w:pStyle w:val="Style5"/>
        <w:widowControl w:val="0"/>
        <w:keepNext w:val="0"/>
        <w:keepLines w:val="0"/>
        <w:shd w:val="clear" w:color="auto" w:fill="auto"/>
        <w:bidi w:val="0"/>
        <w:jc w:val="both"/>
        <w:spacing w:before="0" w:after="0"/>
        <w:ind w:left="40" w:right="20" w:firstLine="520"/>
      </w:pPr>
      <w:r>
        <w:rPr>
          <w:lang w:val="ru-RU" w:eastAsia="ru-RU" w:bidi="ru-RU"/>
          <w:w w:val="100"/>
          <w:spacing w:val="0"/>
          <w:color w:val="000000"/>
          <w:position w:val="0"/>
        </w:rPr>
        <w:t>В силу ч.4 ст.24.2 Закона о контрактной системе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w:t>
      </w:r>
    </w:p>
    <w:p>
      <w:pPr>
        <w:pStyle w:val="Style5"/>
        <w:tabs>
          <w:tab w:leader="none" w:pos="4250" w:val="right"/>
          <w:tab w:leader="none" w:pos="4562" w:val="left"/>
        </w:tabs>
        <w:widowControl w:val="0"/>
        <w:keepNext w:val="0"/>
        <w:keepLines w:val="0"/>
        <w:shd w:val="clear" w:color="auto" w:fill="auto"/>
        <w:bidi w:val="0"/>
        <w:jc w:val="both"/>
        <w:spacing w:before="0" w:after="0"/>
        <w:ind w:left="40" w:right="20" w:firstLine="520"/>
      </w:pPr>
      <w:r>
        <w:rPr>
          <w:lang w:val="ru-RU" w:eastAsia="ru-RU" w:bidi="ru-RU"/>
          <w:w w:val="100"/>
          <w:spacing w:val="0"/>
          <w:color w:val="000000"/>
          <w:position w:val="0"/>
        </w:rPr>
        <w:t>Согласно сведениям из Единой информационной системы в сфере закупок (далее — ЕИС) датой регистрации ООО «Системные решения» в ЕИС является 02.03.2019, что свидетельствует о необходимости представления решения, предусмотренного пп. «с»</w:t>
        <w:tab/>
        <w:t>п.5</w:t>
        <w:tab/>
        <w:t>Правил регистрации и ведения реестра,</w:t>
      </w:r>
    </w:p>
    <w:p>
      <w:pPr>
        <w:pStyle w:val="Style5"/>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заблаговременно до даты регистрации.</w:t>
      </w:r>
    </w:p>
    <w:p>
      <w:pPr>
        <w:pStyle w:val="Style5"/>
        <w:widowControl w:val="0"/>
        <w:keepNext w:val="0"/>
        <w:keepLines w:val="0"/>
        <w:shd w:val="clear" w:color="auto" w:fill="auto"/>
        <w:bidi w:val="0"/>
        <w:jc w:val="both"/>
        <w:spacing w:before="0" w:after="0"/>
        <w:ind w:left="40" w:right="20" w:firstLine="520"/>
      </w:pPr>
      <w:r>
        <w:rPr>
          <w:lang w:val="ru-RU" w:eastAsia="ru-RU" w:bidi="ru-RU"/>
          <w:w w:val="100"/>
          <w:spacing w:val="0"/>
          <w:color w:val="000000"/>
          <w:position w:val="0"/>
        </w:rPr>
        <w:t xml:space="preserve">В соответствии с п.16 Правил регистрации и ведения реестра </w:t>
      </w:r>
      <w:r>
        <w:rPr>
          <w:rStyle w:val="CharStyle17"/>
        </w:rPr>
        <w:t>в случае внесения изменений в информацию и документы,</w:t>
      </w:r>
      <w:r>
        <w:rPr>
          <w:lang w:val="ru-RU" w:eastAsia="ru-RU" w:bidi="ru-RU"/>
          <w:w w:val="100"/>
          <w:spacing w:val="0"/>
          <w:color w:val="000000"/>
          <w:position w:val="0"/>
        </w:rPr>
        <w:t xml:space="preserve"> за исключением информации и документов, формируемых в соответствии с Правилами регистрации и ведения реестра автоматически на основании сведений из государственных информационных систем и (или) официальных сайтов федеральных органов власти, уполномоченных на ведение государственных реестров, замены или прекращения действия таких документов, </w:t>
      </w:r>
      <w:r>
        <w:rPr>
          <w:rStyle w:val="CharStyle17"/>
        </w:rPr>
        <w:t>участник закупки обязан сформировать в единой информационной системе новые информацию и документы в порядке, установленном Правилами регистрации и введения реестра.</w:t>
      </w:r>
    </w:p>
    <w:p>
      <w:pPr>
        <w:pStyle w:val="Style5"/>
        <w:widowControl w:val="0"/>
        <w:keepNext w:val="0"/>
        <w:keepLines w:val="0"/>
        <w:shd w:val="clear" w:color="auto" w:fill="auto"/>
        <w:bidi w:val="0"/>
        <w:jc w:val="both"/>
        <w:spacing w:before="0" w:after="0"/>
        <w:ind w:left="40" w:right="20" w:firstLine="520"/>
      </w:pPr>
      <w:r>
        <w:rPr>
          <w:lang w:val="ru-RU" w:eastAsia="ru-RU" w:bidi="ru-RU"/>
          <w:w w:val="100"/>
          <w:spacing w:val="0"/>
          <w:color w:val="000000"/>
          <w:position w:val="0"/>
        </w:rPr>
        <w:t>Таким образом, приложенное решение об одобрении или о совершении по результатам электронных процедур сделок от имени участника - юридического лица с указанием информации о максимальной сумме одной сделки не соответствует фактической цене закупки, что однозначно свидетельствует о его несоответствии требованиям Закона о контрактной системе.</w:t>
      </w:r>
    </w:p>
    <w:p>
      <w:pPr>
        <w:pStyle w:val="Style5"/>
        <w:widowControl w:val="0"/>
        <w:keepNext w:val="0"/>
        <w:keepLines w:val="0"/>
        <w:shd w:val="clear" w:color="auto" w:fill="auto"/>
        <w:bidi w:val="0"/>
        <w:jc w:val="both"/>
        <w:spacing w:before="0" w:after="0"/>
        <w:ind w:left="40" w:right="20" w:firstLine="520"/>
      </w:pPr>
      <w:r>
        <w:rPr>
          <w:lang w:val="ru-RU" w:eastAsia="ru-RU" w:bidi="ru-RU"/>
          <w:w w:val="100"/>
          <w:spacing w:val="0"/>
          <w:color w:val="000000"/>
          <w:position w:val="0"/>
        </w:rPr>
        <w:t>При этом, очевидно, ООО «Системные решения» не был лишен возможности исполнить требования п.16 Правил регистрации и ведения реестра в части актуализации документов.</w:t>
      </w:r>
    </w:p>
    <w:p>
      <w:pPr>
        <w:pStyle w:val="Style5"/>
        <w:widowControl w:val="0"/>
        <w:keepNext w:val="0"/>
        <w:keepLines w:val="0"/>
        <w:shd w:val="clear" w:color="auto" w:fill="auto"/>
        <w:bidi w:val="0"/>
        <w:jc w:val="both"/>
        <w:spacing w:before="0" w:after="0"/>
        <w:ind w:left="40" w:right="20" w:firstLine="520"/>
      </w:pPr>
      <w:r>
        <w:rPr>
          <w:lang w:val="ru-RU" w:eastAsia="ru-RU" w:bidi="ru-RU"/>
          <w:w w:val="100"/>
          <w:spacing w:val="0"/>
          <w:color w:val="000000"/>
          <w:position w:val="0"/>
        </w:rPr>
        <w:t>Согласно ч.4 ст.54.7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pPr>
        <w:pStyle w:val="Style5"/>
        <w:numPr>
          <w:ilvl w:val="0"/>
          <w:numId w:val="21"/>
        </w:numPr>
        <w:widowControl w:val="0"/>
        <w:keepNext w:val="0"/>
        <w:keepLines w:val="0"/>
        <w:shd w:val="clear" w:color="auto" w:fill="auto"/>
        <w:bidi w:val="0"/>
        <w:jc w:val="both"/>
        <w:spacing w:before="0" w:after="0"/>
        <w:ind w:left="40" w:right="20" w:firstLine="520"/>
      </w:pPr>
      <w:r>
        <w:rPr>
          <w:lang w:val="ru-RU" w:eastAsia="ru-RU" w:bidi="ru-RU"/>
          <w:w w:val="100"/>
          <w:spacing w:val="0"/>
          <w:color w:val="000000"/>
          <w:position w:val="0"/>
        </w:rPr>
        <w:t xml:space="preserve"> в случае непредставления документов и информации, предусмотренных п.1-п.3, 7 ч.6 ст.54.4 Закона о контрактной системе, либо несоответствия указанных документов и информации требованиям, установленным конкурсной документацией;</w:t>
      </w:r>
    </w:p>
    <w:p>
      <w:pPr>
        <w:pStyle w:val="Style5"/>
        <w:numPr>
          <w:ilvl w:val="0"/>
          <w:numId w:val="21"/>
        </w:numPr>
        <w:widowControl w:val="0"/>
        <w:keepNext w:val="0"/>
        <w:keepLines w:val="0"/>
        <w:shd w:val="clear" w:color="auto" w:fill="auto"/>
        <w:bidi w:val="0"/>
        <w:jc w:val="both"/>
        <w:spacing w:before="0" w:after="0"/>
        <w:ind w:left="40" w:right="20" w:firstLine="520"/>
      </w:pPr>
      <w:r>
        <w:rPr>
          <w:lang w:val="ru-RU" w:eastAsia="ru-RU" w:bidi="ru-RU"/>
          <w:w w:val="100"/>
          <w:spacing w:val="0"/>
          <w:color w:val="000000"/>
          <w:position w:val="0"/>
        </w:rPr>
        <w:t xml:space="preserve"> в случае наличия в документах и информации, предусмотренных ч.11 ст.24.1, ч.4 и ч.6 ст.54.4 Закона о контрактной системе, недостоверной информации на дату и</w:t>
      </w:r>
      <w:r>
        <w:br w:type="page"/>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время рассмотрения вторых частей заявок на участие в таком конкурсе;</w:t>
      </w:r>
    </w:p>
    <w:p>
      <w:pPr>
        <w:pStyle w:val="Style5"/>
        <w:numPr>
          <w:ilvl w:val="0"/>
          <w:numId w:val="2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в случае несоответствия участника такого конкурса требованиям, установленным конкурсной документацией в соответствии с ч.1, ч.1.1 и 2.1 (при наличии таких требований) ст.31 Закона о контрактной системе;</w:t>
      </w:r>
    </w:p>
    <w:p>
      <w:pPr>
        <w:pStyle w:val="Style5"/>
        <w:numPr>
          <w:ilvl w:val="0"/>
          <w:numId w:val="2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в случаях, предусмотренных нормативными правовыми актами, принятыми в соответствии со ст.14 Закона о контрактной системе;</w:t>
      </w:r>
    </w:p>
    <w:p>
      <w:pPr>
        <w:pStyle w:val="Style5"/>
        <w:numPr>
          <w:ilvl w:val="0"/>
          <w:numId w:val="2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в случае непредставления документов, предусмотренных п.5 ч.6 ст.54.4 Закона о контрактной системе, при осуществлении закупки товаров, работ, услуг, в отношении которых установлен запрет, предусмотренный ст.14 Закона о контрактной системе.</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Таким образом, Комиссия Управления приходит к выводу о том, что конкурсной комиссией Заказчика нарушены положения ч.4 ст.54.7 Закона о контрактной системе по причине признания заявки ООО «Системные решения» соответствующей требованиям законодательства о контрактной системе.</w:t>
      </w:r>
    </w:p>
    <w:p>
      <w:pPr>
        <w:pStyle w:val="Style5"/>
        <w:widowControl w:val="0"/>
        <w:keepNext w:val="0"/>
        <w:keepLines w:val="0"/>
        <w:shd w:val="clear" w:color="auto" w:fill="auto"/>
        <w:bidi w:val="0"/>
        <w:jc w:val="both"/>
        <w:spacing w:before="0" w:after="289"/>
        <w:ind w:left="2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8"/>
        <w:widowControl w:val="0"/>
        <w:keepNext w:val="0"/>
        <w:keepLines w:val="0"/>
        <w:shd w:val="clear" w:color="auto" w:fill="auto"/>
        <w:bidi w:val="0"/>
        <w:jc w:val="center"/>
        <w:spacing w:before="0" w:after="303" w:line="260" w:lineRule="exact"/>
        <w:ind w:left="0" w:right="20" w:firstLine="0"/>
      </w:pPr>
      <w:r>
        <w:rPr>
          <w:lang w:val="ru-RU" w:eastAsia="ru-RU" w:bidi="ru-RU"/>
          <w:w w:val="100"/>
          <w:spacing w:val="0"/>
          <w:color w:val="000000"/>
          <w:position w:val="0"/>
        </w:rPr>
        <w:t>Р Е Ш И Л А:</w:t>
      </w:r>
    </w:p>
    <w:p>
      <w:pPr>
        <w:pStyle w:val="Style5"/>
        <w:numPr>
          <w:ilvl w:val="0"/>
          <w:numId w:val="2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Признать жалобу ООО «Инжиниринг групп» на действия конкурсной комиссии ГКУ «Дирекция ОДОТСЗН г. Москвы» обоснованной в части ненадлежащего составления протокола рассмотрения и оценки вторых частей, а также протокола подведения итогов.</w:t>
      </w:r>
    </w:p>
    <w:p>
      <w:pPr>
        <w:pStyle w:val="Style5"/>
        <w:numPr>
          <w:ilvl w:val="0"/>
          <w:numId w:val="2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Признать в действиях конкурсной комиссии Заказчика нарушение ч.4, ч.7, ч.12 ст.54.7 Закона о контрактной системе.</w:t>
      </w:r>
    </w:p>
    <w:p>
      <w:pPr>
        <w:pStyle w:val="Style5"/>
        <w:numPr>
          <w:ilvl w:val="0"/>
          <w:numId w:val="23"/>
        </w:numPr>
        <w:widowControl w:val="0"/>
        <w:keepNext w:val="0"/>
        <w:keepLines w:val="0"/>
        <w:shd w:val="clear" w:color="auto" w:fill="auto"/>
        <w:bidi w:val="0"/>
        <w:jc w:val="both"/>
        <w:spacing w:before="0" w:after="240"/>
        <w:ind w:left="20" w:right="20" w:firstLine="560"/>
      </w:pPr>
      <w:r>
        <w:rPr>
          <w:lang w:val="ru-RU" w:eastAsia="ru-RU" w:bidi="ru-RU"/>
          <w:w w:val="100"/>
          <w:spacing w:val="0"/>
          <w:color w:val="000000"/>
          <w:position w:val="0"/>
        </w:rPr>
        <w:t xml:space="preserve"> Выдать Заказчику, конкурсной комиссии Заказчика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52" w:line="260" w:lineRule="exact"/>
        <w:ind w:left="20" w:right="0" w:firstLine="0"/>
      </w:pPr>
      <w:r>
        <w:rPr>
          <w:lang w:val="ru-RU" w:eastAsia="ru-RU" w:bidi="ru-RU"/>
          <w:w w:val="100"/>
          <w:spacing w:val="0"/>
          <w:color w:val="000000"/>
          <w:position w:val="0"/>
        </w:rPr>
        <w:t>гл. 24 АПК РФ.</w:t>
      </w:r>
    </w:p>
    <w:p>
      <w:pPr>
        <w:pStyle w:val="Style5"/>
        <w:framePr w:h="245" w:vSpace="667" w:wrap="around" w:vAnchor="text" w:hAnchor="margin" w:x="8258" w:y="1"/>
        <w:widowControl w:val="0"/>
        <w:keepNext w:val="0"/>
        <w:keepLines w:val="0"/>
        <w:shd w:val="clear" w:color="auto" w:fill="auto"/>
        <w:bidi w:val="0"/>
        <w:jc w:val="left"/>
        <w:spacing w:before="0" w:after="0" w:line="230" w:lineRule="exact"/>
        <w:ind w:left="100" w:right="0" w:firstLine="0"/>
      </w:pPr>
      <w:r>
        <w:rPr>
          <w:rStyle w:val="CharStyle6"/>
          <w:spacing w:val="0"/>
        </w:rPr>
        <w:t>Л.Н. Харченко</w:t>
      </w:r>
    </w:p>
    <w:p>
      <w:pPr>
        <w:pStyle w:val="Style5"/>
        <w:widowControl w:val="0"/>
        <w:keepNext w:val="0"/>
        <w:keepLines w:val="0"/>
        <w:shd w:val="clear" w:color="auto" w:fill="auto"/>
        <w:bidi w:val="0"/>
        <w:jc w:val="left"/>
        <w:spacing w:before="0" w:after="352" w:line="260" w:lineRule="exact"/>
        <w:ind w:left="20" w:right="0" w:firstLine="0"/>
      </w:pPr>
      <w:r>
        <w:rPr>
          <w:lang w:val="ru-RU" w:eastAsia="ru-RU" w:bidi="ru-RU"/>
          <w:w w:val="100"/>
          <w:spacing w:val="0"/>
          <w:color w:val="000000"/>
          <w:position w:val="0"/>
        </w:rPr>
        <w:t>Председатель Комиссии</w:t>
      </w:r>
    </w:p>
    <w:p>
      <w:pPr>
        <w:pStyle w:val="Style5"/>
        <w:framePr w:h="238" w:wrap="around" w:vAnchor="text" w:hAnchor="margin" w:x="8642" w:y="1"/>
        <w:widowControl w:val="0"/>
        <w:keepNext w:val="0"/>
        <w:keepLines w:val="0"/>
        <w:shd w:val="clear" w:color="auto" w:fill="auto"/>
        <w:bidi w:val="0"/>
        <w:jc w:val="left"/>
        <w:spacing w:before="0" w:after="0" w:line="230" w:lineRule="exact"/>
        <w:ind w:left="100" w:right="0" w:firstLine="0"/>
      </w:pPr>
      <w:r>
        <w:rPr>
          <w:rStyle w:val="CharStyle6"/>
          <w:spacing w:val="0"/>
        </w:rPr>
        <w:t>К.А. Сомов</w:t>
      </w:r>
    </w:p>
    <w:p>
      <w:pPr>
        <w:pStyle w:val="Style5"/>
        <w:framePr w:h="238" w:wrap="around" w:vAnchor="text" w:hAnchor="margin" w:x="8311" w:y="649"/>
        <w:widowControl w:val="0"/>
        <w:keepNext w:val="0"/>
        <w:keepLines w:val="0"/>
        <w:shd w:val="clear" w:color="auto" w:fill="auto"/>
        <w:bidi w:val="0"/>
        <w:jc w:val="left"/>
        <w:spacing w:before="0" w:after="0" w:line="230" w:lineRule="exact"/>
        <w:ind w:left="100" w:right="0" w:firstLine="0"/>
      </w:pPr>
      <w:r>
        <w:rPr>
          <w:rStyle w:val="CharStyle6"/>
          <w:spacing w:val="0"/>
        </w:rPr>
        <w:t>А.З. Касимова</w:t>
      </w:r>
    </w:p>
    <w:p>
      <w:pPr>
        <w:pStyle w:val="Style5"/>
        <w:widowControl w:val="0"/>
        <w:keepNext w:val="0"/>
        <w:keepLines w:val="0"/>
        <w:shd w:val="clear" w:color="auto" w:fill="auto"/>
        <w:bidi w:val="0"/>
        <w:jc w:val="left"/>
        <w:spacing w:before="0" w:after="347" w:line="260" w:lineRule="exact"/>
        <w:ind w:left="20" w:right="0" w:firstLine="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183" w:line="260" w:lineRule="exact"/>
        <w:ind w:left="20" w:right="0" w:firstLine="0"/>
      </w:pPr>
      <w:r>
        <w:rPr>
          <w:lang w:val="ru-RU" w:eastAsia="ru-RU" w:bidi="ru-RU"/>
          <w:w w:val="100"/>
          <w:spacing w:val="0"/>
          <w:color w:val="000000"/>
          <w:position w:val="0"/>
        </w:rPr>
        <w:t>Член Комиссии</w:t>
      </w:r>
    </w:p>
    <w:p>
      <w:pPr>
        <w:pStyle w:val="Style18"/>
        <w:widowControl w:val="0"/>
        <w:keepNext w:val="0"/>
        <w:keepLines w:val="0"/>
        <w:shd w:val="clear" w:color="auto" w:fill="auto"/>
        <w:bidi w:val="0"/>
        <w:jc w:val="left"/>
        <w:spacing w:before="0" w:after="0" w:line="180" w:lineRule="exact"/>
        <w:ind w:left="20" w:right="0" w:firstLine="0"/>
      </w:pPr>
      <w:r>
        <w:rPr>
          <w:lang w:val="ru-RU" w:eastAsia="ru-RU" w:bidi="ru-RU"/>
          <w:w w:val="100"/>
          <w:spacing w:val="0"/>
          <w:color w:val="000000"/>
          <w:position w:val="0"/>
        </w:rPr>
        <w:t>Исп. Сомов Кирилл Александрович (495) 784-75-05 (077-143)</w:t>
      </w:r>
    </w:p>
    <w:sectPr>
      <w:footnotePr>
        <w:pos w:val="pageBottom"/>
        <w:numFmt w:val="decimal"/>
        <w:numRestart w:val="continuous"/>
      </w:footnotePr>
      <w:type w:val="continuous"/>
      <w:pgSz w:w="11906" w:h="16838"/>
      <w:pgMar w:top="1190" w:left="855" w:right="831"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2.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2.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iCs/>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7"/>
    <w:rPr>
      <w:lang w:val="ru-RU" w:eastAsia="ru-RU" w:bidi="ru-RU"/>
      <w:u w:val="single"/>
      <w:w w:val="100"/>
      <w:spacing w:val="0"/>
      <w:color w:val="000000"/>
      <w:position w:val="0"/>
    </w:rPr>
  </w:style>
  <w:style w:type="character" w:customStyle="1" w:styleId="CharStyle15">
    <w:name w:val="Основной текст + 8,5 pt"/>
    <w:basedOn w:val="CharStyle7"/>
    <w:rPr>
      <w:lang w:val="ru-RU" w:eastAsia="ru-RU" w:bidi="ru-RU"/>
      <w:sz w:val="17"/>
      <w:szCs w:val="17"/>
      <w:w w:val="100"/>
      <w:spacing w:val="0"/>
      <w:color w:val="000000"/>
      <w:position w:val="0"/>
    </w:rPr>
  </w:style>
  <w:style w:type="character" w:customStyle="1" w:styleId="CharStyle16">
    <w:name w:val="Основной текст + Интервал 1 pt"/>
    <w:basedOn w:val="CharStyle7"/>
    <w:rPr>
      <w:lang w:val="en-US" w:eastAsia="en-US" w:bidi="en-US"/>
      <w:w w:val="100"/>
      <w:spacing w:val="30"/>
      <w:color w:val="000000"/>
      <w:position w:val="0"/>
    </w:rPr>
  </w:style>
  <w:style w:type="character" w:customStyle="1" w:styleId="CharStyle17">
    <w:name w:val="Основной текст + Курсив"/>
    <w:basedOn w:val="CharStyle7"/>
    <w:rPr>
      <w:lang w:val="ru-RU" w:eastAsia="ru-RU" w:bidi="ru-RU"/>
      <w:i/>
      <w:iCs/>
      <w:w w:val="100"/>
      <w:spacing w:val="0"/>
      <w:color w:val="000000"/>
      <w:position w:val="0"/>
    </w:rPr>
  </w:style>
  <w:style w:type="character" w:customStyle="1" w:styleId="CharStyle19">
    <w:name w:val="Основной текст (4)_"/>
    <w:basedOn w:val="DefaultParagraphFont"/>
    <w:link w:val="Style18"/>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line="322" w:lineRule="exact"/>
      <w:ind w:firstLine="520"/>
    </w:pPr>
    <w:rPr>
      <w:b w:val="0"/>
      <w:bCs w:val="0"/>
      <w:i/>
      <w:iCs/>
      <w:u w:val="none"/>
      <w:strike w:val="0"/>
      <w:smallCaps w:val="0"/>
      <w:sz w:val="26"/>
      <w:szCs w:val="26"/>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before="24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