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77"/>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242"/>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339" w:val="left"/>
        </w:tabs>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№082/06/106-239/2021 реш</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0" w:line="320" w:lineRule="exact"/>
        <w:ind w:left="20" w:right="40" w:firstLine="0"/>
      </w:pPr>
      <w:r>
        <w:rPr>
          <w:lang w:val="ru-RU" w:eastAsia="ru-RU" w:bidi="ru-RU"/>
          <w:w w:val="100"/>
          <w:spacing w:val="0"/>
          <w:color w:val="000000"/>
          <w:position w:val="0"/>
        </w:rPr>
        <w:t>Постоянное представительство Республики Татарстан в Республике Крым и городе Севастополе</w:t>
      </w:r>
    </w:p>
    <w:p>
      <w:pPr>
        <w:pStyle w:val="Style7"/>
        <w:widowControl w:val="0"/>
        <w:keepNext w:val="0"/>
        <w:keepLines w:val="0"/>
        <w:shd w:val="clear" w:color="auto" w:fill="auto"/>
        <w:bidi w:val="0"/>
        <w:jc w:val="left"/>
        <w:spacing w:before="0" w:after="300" w:line="320" w:lineRule="exact"/>
        <w:ind w:left="20" w:right="40" w:firstLine="0"/>
      </w:pPr>
      <w:r>
        <w:rPr>
          <w:lang w:val="ru-RU" w:eastAsia="ru-RU" w:bidi="ru-RU"/>
          <w:w w:val="100"/>
          <w:spacing w:val="0"/>
          <w:color w:val="000000"/>
          <w:position w:val="0"/>
        </w:rPr>
        <w:t xml:space="preserve">295017, Республика Крым, г. Симферополь г, ул. Шмидта, дом 19/1, квартира 1, </w:t>
      </w:r>
      <w:r>
        <w:fldChar w:fldCharType="begin"/>
      </w:r>
      <w:r>
        <w:rPr>
          <w:color w:val="000000"/>
        </w:rPr>
        <w:instrText> HYPERLINK "mailto:Prrt.Kiym@tatar.ru" </w:instrText>
      </w:r>
      <w:r>
        <w:fldChar w:fldCharType="separate"/>
      </w:r>
      <w:r>
        <w:rPr>
          <w:rStyle w:val="Hyperlink"/>
          <w:lang w:val="en-US" w:eastAsia="en-US" w:bidi="en-US"/>
          <w:w w:val="100"/>
          <w:spacing w:val="0"/>
          <w:position w:val="0"/>
        </w:rPr>
        <w:t>Prrt.Kiym@tatar.ru</w:t>
      </w:r>
      <w:r>
        <w:fldChar w:fldCharType="end"/>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jc w:val="left"/>
        <w:spacing w:before="0" w:after="0" w:line="320" w:lineRule="exact"/>
        <w:ind w:left="20" w:right="40" w:firstLine="0"/>
      </w:pPr>
      <w:r>
        <w:rPr>
          <w:lang w:val="ru-RU" w:eastAsia="ru-RU" w:bidi="ru-RU"/>
          <w:w w:val="100"/>
          <w:spacing w:val="0"/>
          <w:color w:val="000000"/>
          <w:position w:val="0"/>
        </w:rPr>
        <w:t>ООО "Первая частная обеспечивающая персоналом фирма "Сотрудник"</w:t>
      </w:r>
    </w:p>
    <w:p>
      <w:pPr>
        <w:pStyle w:val="Style7"/>
        <w:widowControl w:val="0"/>
        <w:keepNext w:val="0"/>
        <w:keepLines w:val="0"/>
        <w:shd w:val="clear" w:color="auto" w:fill="auto"/>
        <w:bidi w:val="0"/>
        <w:jc w:val="left"/>
        <w:spacing w:before="0" w:after="0" w:line="320" w:lineRule="exact"/>
        <w:ind w:left="20" w:right="40" w:firstLine="0"/>
        <w:sectPr>
          <w:footnotePr>
            <w:pos w:val="pageBottom"/>
            <w:numFmt w:val="decimal"/>
            <w:numRestart w:val="continuous"/>
          </w:footnotePr>
          <w:type w:val="continuous"/>
          <w:pgSz w:w="11906" w:h="16838"/>
          <w:pgMar w:top="801" w:left="879" w:right="883" w:bottom="488" w:header="0" w:footer="3" w:gutter="0"/>
          <w:rtlGutter w:val="0"/>
          <w:cols w:num="2" w:space="102"/>
          <w:noEndnote/>
          <w:docGrid w:linePitch="360"/>
        </w:sectPr>
      </w:pPr>
      <w:r>
        <w:rPr>
          <w:lang w:val="ru-RU" w:eastAsia="ru-RU" w:bidi="ru-RU"/>
          <w:w w:val="100"/>
          <w:spacing w:val="0"/>
          <w:color w:val="000000"/>
          <w:position w:val="0"/>
        </w:rPr>
        <w:t xml:space="preserve">298641, Республика Крым, г. Ялта, поселок Линейное, улица Шоссейная, д. 5/6, </w:t>
      </w:r>
      <w:r>
        <w:fldChar w:fldCharType="begin"/>
      </w:r>
      <w:r>
        <w:rPr>
          <w:color w:val="000000"/>
        </w:rPr>
        <w:instrText> HYPERLINK "mailto:Rosich-St@yandex.ru" </w:instrText>
      </w:r>
      <w:r>
        <w:fldChar w:fldCharType="separate"/>
      </w:r>
      <w:r>
        <w:rPr>
          <w:rStyle w:val="Hyperlink"/>
          <w:lang w:val="en-US" w:eastAsia="en-US" w:bidi="en-US"/>
          <w:w w:val="100"/>
          <w:spacing w:val="0"/>
          <w:position w:val="0"/>
        </w:rPr>
        <w:t>Rosich-St@yandex.ru</w:t>
      </w:r>
      <w:r>
        <w:fldChar w:fldCharType="end"/>
      </w:r>
    </w:p>
    <w:p>
      <w:pPr>
        <w:widowControl w:val="0"/>
        <w:spacing w:before="43" w:after="4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317" w:lineRule="exact"/>
        <w:ind w:left="5080" w:right="0" w:firstLine="0"/>
      </w:pPr>
      <w:r>
        <w:rPr>
          <w:lang w:val="ru-RU" w:eastAsia="ru-RU" w:bidi="ru-RU"/>
          <w:w w:val="100"/>
          <w:spacing w:val="0"/>
          <w:color w:val="000000"/>
          <w:position w:val="0"/>
        </w:rPr>
        <w:t>Оператор электронной площадки:</w:t>
      </w:r>
    </w:p>
    <w:p>
      <w:pPr>
        <w:pStyle w:val="Style7"/>
        <w:widowControl w:val="0"/>
        <w:keepNext w:val="0"/>
        <w:keepLines w:val="0"/>
        <w:shd w:val="clear" w:color="auto" w:fill="auto"/>
        <w:bidi w:val="0"/>
        <w:jc w:val="left"/>
        <w:spacing w:before="0" w:after="0" w:line="317" w:lineRule="exact"/>
        <w:ind w:left="5080" w:right="0" w:firstLine="0"/>
      </w:pPr>
      <w:r>
        <w:rPr>
          <w:lang w:val="ru-RU" w:eastAsia="ru-RU" w:bidi="ru-RU"/>
          <w:w w:val="100"/>
          <w:spacing w:val="0"/>
          <w:color w:val="000000"/>
          <w:position w:val="0"/>
        </w:rPr>
        <w:t>АО «АГЗРТ»</w:t>
      </w:r>
    </w:p>
    <w:p>
      <w:pPr>
        <w:pStyle w:val="Style7"/>
        <w:widowControl w:val="0"/>
        <w:keepNext w:val="0"/>
        <w:keepLines w:val="0"/>
        <w:shd w:val="clear" w:color="auto" w:fill="auto"/>
        <w:bidi w:val="0"/>
        <w:jc w:val="left"/>
        <w:spacing w:before="0" w:after="897" w:line="317" w:lineRule="exact"/>
        <w:ind w:left="5080" w:right="20" w:firstLine="0"/>
      </w:pPr>
      <w:r>
        <w:rPr>
          <w:lang w:val="ru-RU" w:eastAsia="ru-RU" w:bidi="ru-RU"/>
          <w:w w:val="100"/>
          <w:spacing w:val="0"/>
          <w:color w:val="000000"/>
          <w:position w:val="0"/>
        </w:rPr>
        <w:t xml:space="preserve">420021, Казань, ул.Московская, 55 </w:t>
      </w:r>
      <w:r>
        <w:rPr>
          <w:lang w:val="en-US" w:eastAsia="en-US" w:bidi="en-US"/>
          <w:w w:val="100"/>
          <w:spacing w:val="0"/>
          <w:color w:val="000000"/>
          <w:position w:val="0"/>
        </w:rPr>
        <w:t xml:space="preserve">e-mail: </w:t>
      </w:r>
      <w:r>
        <w:fldChar w:fldCharType="begin"/>
      </w:r>
      <w:r>
        <w:rPr>
          <w:color w:val="000000"/>
        </w:rPr>
        <w:instrText> HYPERLINK "mailto:agency@mail.agzrt.ru" </w:instrText>
      </w:r>
      <w:r>
        <w:fldChar w:fldCharType="separate"/>
      </w:r>
      <w:r>
        <w:rPr>
          <w:rStyle w:val="Hyperlink"/>
          <w:lang w:val="en-US" w:eastAsia="en-US" w:bidi="en-US"/>
          <w:w w:val="100"/>
          <w:spacing w:val="0"/>
          <w:position w:val="0"/>
        </w:rPr>
        <w:t>agency@mail.agzrt.ru</w:t>
      </w:r>
      <w:r>
        <w:fldChar w:fldCharType="end"/>
      </w:r>
      <w:r>
        <w:rPr>
          <w:lang w:val="en-US" w:eastAsia="en-US" w:bidi="en-US"/>
          <w:w w:val="100"/>
          <w:spacing w:val="0"/>
          <w:color w:val="000000"/>
          <w:position w:val="0"/>
        </w:rPr>
        <w:t xml:space="preserve">, </w:t>
      </w:r>
      <w:r>
        <w:fldChar w:fldCharType="begin"/>
      </w:r>
      <w:r>
        <w:rPr>
          <w:color w:val="000000"/>
        </w:rPr>
        <w:instrText> HYPERLINK "mailto:agzrt@tatar.ru" </w:instrText>
      </w:r>
      <w:r>
        <w:fldChar w:fldCharType="separate"/>
      </w:r>
      <w:r>
        <w:rPr>
          <w:rStyle w:val="Hyperlink"/>
          <w:lang w:val="en-US" w:eastAsia="en-US" w:bidi="en-US"/>
          <w:w w:val="100"/>
          <w:spacing w:val="0"/>
          <w:position w:val="0"/>
        </w:rPr>
        <w:t>agzrt@tatar.ru</w:t>
      </w:r>
      <w:r>
        <w:fldChar w:fldCharType="end"/>
      </w:r>
    </w:p>
    <w:p>
      <w:pPr>
        <w:pStyle w:val="Style9"/>
        <w:widowControl w:val="0"/>
        <w:keepNext w:val="0"/>
        <w:keepLines w:val="0"/>
        <w:shd w:val="clear" w:color="auto" w:fill="auto"/>
        <w:bidi w:val="0"/>
        <w:jc w:val="center"/>
        <w:spacing w:before="0" w:after="228"/>
        <w:ind w:left="40" w:right="0" w:firstLine="0"/>
      </w:pPr>
      <w:r>
        <w:rPr>
          <w:lang w:val="ru-RU" w:eastAsia="ru-RU" w:bidi="ru-RU"/>
          <w:w w:val="100"/>
          <w:spacing w:val="0"/>
          <w:color w:val="000000"/>
          <w:position w:val="0"/>
        </w:rPr>
        <w:t>Решение по делу №082/06/106-239/2021 о нарушении законодательства Российской Федерации о контрактной системе в сфере закупок</w:t>
      </w:r>
    </w:p>
    <w:p>
      <w:pPr>
        <w:pStyle w:val="Style7"/>
        <w:numPr>
          <w:ilvl w:val="0"/>
          <w:numId w:val="3"/>
        </w:numPr>
        <w:tabs>
          <w:tab w:leader="none" w:pos="8329" w:val="center"/>
          <w:tab w:leader="none" w:pos="10140" w:val="right"/>
          <w:tab w:leader="none" w:pos="8264" w:val="left"/>
        </w:tabs>
        <w:widowControl w:val="0"/>
        <w:keepNext w:val="0"/>
        <w:keepLines w:val="0"/>
        <w:shd w:val="clear" w:color="auto" w:fill="auto"/>
        <w:bidi w:val="0"/>
        <w:spacing w:before="0" w:after="374" w:line="260" w:lineRule="exact"/>
        <w:ind w:left="2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left"/>
        <w:spacing w:before="0" w:after="0" w:line="320" w:lineRule="exact"/>
        <w:ind w:left="20" w:right="20" w:firstLine="720"/>
      </w:pPr>
      <w:r>
        <w:rPr>
          <w:lang w:val="ru-RU" w:eastAsia="ru-RU" w:bidi="ru-RU"/>
          <w:w w:val="100"/>
          <w:spacing w:val="0"/>
          <w:color w:val="000000"/>
          <w:position w:val="0"/>
        </w:rPr>
        <w:t>председатель Комиссии - заместитель руководителя Крымского УФАС России И.Р. Хасанов, члены Комиссии:</w:t>
      </w:r>
    </w:p>
    <w:p>
      <w:pPr>
        <w:pStyle w:val="Style7"/>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главный специалист-эксперт отдела контроля закупок Крымского УФАС России Т.С. Демченко,</w:t>
      </w:r>
    </w:p>
    <w:p>
      <w:pPr>
        <w:pStyle w:val="Style7"/>
        <w:widowControl w:val="0"/>
        <w:keepNext w:val="0"/>
        <w:keepLines w:val="0"/>
        <w:shd w:val="clear" w:color="auto" w:fill="auto"/>
        <w:bidi w:val="0"/>
        <w:jc w:val="left"/>
        <w:spacing w:before="0" w:after="0" w:line="320" w:lineRule="exact"/>
        <w:ind w:left="720" w:right="840" w:firstLine="0"/>
      </w:pPr>
      <w:r>
        <w:rPr>
          <w:lang w:val="ru-RU" w:eastAsia="ru-RU" w:bidi="ru-RU"/>
          <w:w w:val="100"/>
          <w:spacing w:val="0"/>
          <w:color w:val="000000"/>
          <w:position w:val="0"/>
        </w:rPr>
        <w:t>специалист-эксперт отдела контроля закупок Крымского УФАС России Т.А. Кочетова,</w:t>
      </w:r>
    </w:p>
    <w:p>
      <w:pPr>
        <w:pStyle w:val="Style7"/>
        <w:widowControl w:val="0"/>
        <w:keepNext w:val="0"/>
        <w:keepLines w:val="0"/>
        <w:shd w:val="clear" w:color="auto" w:fill="auto"/>
        <w:bidi w:val="0"/>
        <w:spacing w:before="0" w:after="0" w:line="320" w:lineRule="exact"/>
        <w:ind w:left="20" w:right="0" w:firstLine="720"/>
      </w:pPr>
      <w:r>
        <w:rPr>
          <w:lang w:val="ru-RU" w:eastAsia="ru-RU" w:bidi="ru-RU"/>
          <w:w w:val="100"/>
          <w:spacing w:val="0"/>
          <w:color w:val="000000"/>
          <w:position w:val="0"/>
        </w:rPr>
        <w:t>при участии посредством видеоконференц-связи представителей интересов:</w:t>
      </w:r>
    </w:p>
    <w:p>
      <w:pPr>
        <w:pStyle w:val="Style7"/>
        <w:numPr>
          <w:ilvl w:val="0"/>
          <w:numId w:val="5"/>
        </w:numPr>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 xml:space="preserve"> Постоянное представительство Республики Татарстан в Республике Крым и городе Севастополе (далее - Заказчик) - И.А. Буланова (по доверенности),</w:t>
      </w:r>
    </w:p>
    <w:p>
      <w:pPr>
        <w:pStyle w:val="Style7"/>
        <w:numPr>
          <w:ilvl w:val="0"/>
          <w:numId w:val="5"/>
        </w:numPr>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 xml:space="preserve"> ООО "Первая частная обеспечивающая персоналом фирма "Сотрудник" (далее - Заявитель) - на заседание Комиссии не явились, о дате, времени и месте рассмотрения жалобы посредством видеоконференц-связи с возможностью очного участия уведомлены надлежащим образом,</w:t>
      </w:r>
    </w:p>
    <w:p>
      <w:pPr>
        <w:pStyle w:val="Style7"/>
        <w:widowControl w:val="0"/>
        <w:keepNext w:val="0"/>
        <w:keepLines w:val="0"/>
        <w:shd w:val="clear" w:color="auto" w:fill="auto"/>
        <w:bidi w:val="0"/>
        <w:spacing w:before="0" w:after="0" w:line="324" w:lineRule="exact"/>
        <w:ind w:left="20" w:right="20" w:firstLine="700"/>
      </w:pPr>
      <w:r>
        <w:rPr>
          <w:lang w:val="ru-RU" w:eastAsia="ru-RU" w:bidi="ru-RU"/>
          <w:w w:val="100"/>
          <w:spacing w:val="0"/>
          <w:color w:val="000000"/>
          <w:position w:val="0"/>
        </w:rPr>
        <w:t>рассмотрев посредством системы видеоконференц-связи жалобу Заявителя на действия Заказчика (комиссии Заказчика) при проведении закупки «Услуги системного администратора» (извещение №0111200005721000001) (далее - Закупка),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7"/>
        <w:numPr>
          <w:ilvl w:val="0"/>
          <w:numId w:val="7"/>
        </w:numPr>
        <w:widowControl w:val="0"/>
        <w:keepNext w:val="0"/>
        <w:keepLines w:val="0"/>
        <w:shd w:val="clear" w:color="auto" w:fill="auto"/>
        <w:bidi w:val="0"/>
        <w:spacing w:before="0" w:after="0" w:line="324" w:lineRule="exact"/>
        <w:ind w:left="20" w:right="20" w:firstLine="0"/>
      </w:pPr>
      <w:r>
        <w:rPr>
          <w:lang w:val="ru-RU" w:eastAsia="ru-RU" w:bidi="ru-RU"/>
          <w:w w:val="100"/>
          <w:spacing w:val="0"/>
          <w:color w:val="000000"/>
          <w:position w:val="0"/>
        </w:rPr>
        <w:t xml:space="preserve"> №727/14, зарегистрированного в Министерстве юстиции Российской Федерации 27.02.2015 за №36262 (далее - Административный регламент от</w:t>
      </w:r>
    </w:p>
    <w:p>
      <w:pPr>
        <w:pStyle w:val="Style7"/>
        <w:numPr>
          <w:ilvl w:val="0"/>
          <w:numId w:val="9"/>
        </w:numPr>
        <w:widowControl w:val="0"/>
        <w:keepNext w:val="0"/>
        <w:keepLines w:val="0"/>
        <w:shd w:val="clear" w:color="auto" w:fill="auto"/>
        <w:bidi w:val="0"/>
        <w:spacing w:before="0" w:after="291" w:line="324" w:lineRule="exact"/>
        <w:ind w:left="20" w:right="0" w:firstLine="0"/>
      </w:pPr>
      <w:r>
        <w:rPr>
          <w:lang w:val="ru-RU" w:eastAsia="ru-RU" w:bidi="ru-RU"/>
          <w:w w:val="100"/>
          <w:spacing w:val="0"/>
          <w:color w:val="000000"/>
          <w:position w:val="0"/>
        </w:rPr>
        <w:t xml:space="preserve"> №727/14),</w:t>
      </w:r>
    </w:p>
    <w:p>
      <w:pPr>
        <w:pStyle w:val="Style7"/>
        <w:widowControl w:val="0"/>
        <w:keepNext w:val="0"/>
        <w:keepLines w:val="0"/>
        <w:shd w:val="clear" w:color="auto" w:fill="auto"/>
        <w:bidi w:val="0"/>
        <w:jc w:val="left"/>
        <w:spacing w:before="0" w:after="314" w:line="260" w:lineRule="exact"/>
        <w:ind w:left="448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В Крымское УФАС России поступила жалоба Заявителя на действия комиссии Заказчика при проведении Закупки.</w:t>
      </w:r>
    </w:p>
    <w:p>
      <w:pPr>
        <w:pStyle w:val="Style7"/>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По мнению Заявителя, его права и законные интересы нарушены действиями комиссии Заказчика, осуществившей рассмотрение второй части заявки Заявителя с нарушением требований Закона о контрактной системе.</w:t>
      </w:r>
    </w:p>
    <w:p>
      <w:pPr>
        <w:pStyle w:val="Style7"/>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Представитель Заказчика не согласился с доводами Заявителя и сообщил, что при проведении Закупки комиссия Заказчика действовала в соответствии с положениями Закона о контрактной системе.</w:t>
      </w:r>
    </w:p>
    <w:p>
      <w:pPr>
        <w:pStyle w:val="Style7"/>
        <w:widowControl w:val="0"/>
        <w:keepNext w:val="0"/>
        <w:keepLines w:val="0"/>
        <w:shd w:val="clear" w:color="auto" w:fill="auto"/>
        <w:bidi w:val="0"/>
        <w:spacing w:before="0" w:after="0" w:line="320" w:lineRule="exact"/>
        <w:ind w:left="20" w:right="0" w:firstLine="70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Согласно части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Закона о контрактной системе, в части соответствия их требованиям, установленным документацией о таком аукционе.</w:t>
      </w:r>
    </w:p>
    <w:p>
      <w:pPr>
        <w:pStyle w:val="Style7"/>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7"/>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В соответствии с частью 8 статьи 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pPr>
        <w:pStyle w:val="Style7"/>
        <w:widowControl w:val="0"/>
        <w:keepNext w:val="0"/>
        <w:keepLines w:val="0"/>
        <w:shd w:val="clear" w:color="auto" w:fill="auto"/>
        <w:bidi w:val="0"/>
        <w:spacing w:before="0" w:after="0" w:line="320" w:lineRule="exact"/>
        <w:ind w:left="40" w:right="20" w:firstLine="700"/>
      </w:pPr>
      <w:r>
        <w:rPr>
          <w:lang w:val="ru-RU" w:eastAsia="ru-RU" w:bidi="ru-RU"/>
          <w:w w:val="100"/>
          <w:spacing w:val="0"/>
          <w:color w:val="000000"/>
          <w:position w:val="0"/>
        </w:rPr>
        <w:t>В силу части 10 статьи 69 Закона о контрактной системе участник электронного аукциона, который предложил наиболее низкую цену контракта, наименьшую сумму цен единиц товара, работы, услуги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pPr>
        <w:pStyle w:val="Style7"/>
        <w:widowControl w:val="0"/>
        <w:keepNext w:val="0"/>
        <w:keepLines w:val="0"/>
        <w:shd w:val="clear" w:color="auto" w:fill="auto"/>
        <w:bidi w:val="0"/>
        <w:spacing w:before="0" w:after="176" w:line="320" w:lineRule="exact"/>
        <w:ind w:left="40" w:right="20" w:firstLine="700"/>
      </w:pPr>
      <w:r>
        <w:rPr>
          <w:lang w:val="ru-RU" w:eastAsia="ru-RU" w:bidi="ru-RU"/>
          <w:w w:val="100"/>
          <w:spacing w:val="0"/>
          <w:color w:val="000000"/>
          <w:position w:val="0"/>
        </w:rPr>
        <w:t>Согласно Протоколу подведения итогов электронного аукциона от 04.02.2021 №0111200005721000001-3:</w:t>
      </w:r>
    </w:p>
    <w:p>
      <w:pPr>
        <w:pStyle w:val="Style12"/>
        <w:framePr w:w="10271" w:wrap="notBeside" w:vAnchor="text" w:hAnchor="text" w:xAlign="center" w:y="1"/>
        <w:widowControl w:val="0"/>
        <w:keepNext w:val="0"/>
        <w:keepLines w:val="0"/>
        <w:shd w:val="clear" w:color="auto" w:fill="000000"/>
        <w:bidi w:val="0"/>
        <w:spacing w:before="0" w:after="0"/>
        <w:ind w:left="0" w:right="0" w:firstLine="0"/>
      </w:pPr>
      <w:r>
        <w:rPr>
          <w:rStyle w:val="CharStyle14"/>
          <w:b/>
          <w:bCs/>
        </w:rPr>
        <w:t>3. Комиссией по осуществлению закупок на основании протокола проведения электронного аукциона №0111200005721000001 в соответствии со ст. 69 Федерального закона от 05 апреля 2013 г. № 44-ФЗ были рассмотрены вторые части заявок, информация и электронные документы участников электронного аукциона, предусмотренные частью 11 статьи 24.1 Федерального закона от 05 апреля 2013 г. № 44-ФЗ, на их соответствие требованиям, установленным документацией об электронном аукционе, и принято следующее решение:</w:t>
      </w:r>
    </w:p>
    <w:tbl>
      <w:tblPr>
        <w:tblOverlap w:val="never"/>
        <w:tblLayout w:type="fixed"/>
        <w:jc w:val="center"/>
      </w:tblPr>
      <w:tblGrid>
        <w:gridCol w:w="2966"/>
        <w:gridCol w:w="1926"/>
        <w:gridCol w:w="3200"/>
        <w:gridCol w:w="2178"/>
      </w:tblGrid>
      <w:tr>
        <w:trPr>
          <w:trHeight w:val="1264" w:hRule="exact"/>
        </w:trPr>
        <w:tc>
          <w:tcPr>
            <w:shd w:val="clear" w:color="auto" w:fill="FFFFFF"/>
            <w:tcBorders/>
            <w:vAlign w:val="top"/>
          </w:tcPr>
          <w:p>
            <w:pPr>
              <w:pStyle w:val="Style7"/>
              <w:framePr w:w="10271" w:wrap="notBeside" w:vAnchor="text" w:hAnchor="text" w:xAlign="center" w:y="1"/>
              <w:widowControl w:val="0"/>
              <w:keepNext w:val="0"/>
              <w:keepLines w:val="0"/>
              <w:shd w:val="clear" w:color="auto" w:fill="auto"/>
              <w:bidi w:val="0"/>
              <w:jc w:val="center"/>
              <w:spacing w:before="0" w:after="0" w:line="202" w:lineRule="exact"/>
              <w:ind w:left="0" w:right="0" w:firstLine="0"/>
            </w:pPr>
            <w:r>
              <w:rPr>
                <w:rStyle w:val="CharStyle15"/>
              </w:rPr>
              <w:t>Идентификационный номер заявки</w:t>
            </w:r>
          </w:p>
        </w:tc>
        <w:tc>
          <w:tcPr>
            <w:shd w:val="clear" w:color="auto" w:fill="FFFFFF"/>
            <w:tcBorders/>
            <w:vAlign w:val="top"/>
          </w:tcPr>
          <w:p>
            <w:pPr>
              <w:pStyle w:val="Style7"/>
              <w:framePr w:w="10271" w:wrap="notBeside" w:vAnchor="text" w:hAnchor="text" w:xAlign="center" w:y="1"/>
              <w:widowControl w:val="0"/>
              <w:keepNext w:val="0"/>
              <w:keepLines w:val="0"/>
              <w:shd w:val="clear" w:color="auto" w:fill="auto"/>
              <w:bidi w:val="0"/>
              <w:jc w:val="center"/>
              <w:spacing w:before="0" w:after="0" w:line="202" w:lineRule="exact"/>
              <w:ind w:left="0" w:right="0" w:firstLine="0"/>
            </w:pPr>
            <w:r>
              <w:rPr>
                <w:rStyle w:val="CharStyle15"/>
              </w:rPr>
              <w:t>Предложение о цене контракта</w:t>
            </w:r>
          </w:p>
        </w:tc>
        <w:tc>
          <w:tcPr>
            <w:shd w:val="clear" w:color="auto" w:fill="FFFFFF"/>
            <w:tcBorders/>
            <w:vAlign w:val="top"/>
          </w:tcPr>
          <w:p>
            <w:pPr>
              <w:pStyle w:val="Style7"/>
              <w:framePr w:w="10271" w:wrap="notBeside" w:vAnchor="text" w:hAnchor="text" w:xAlign="center" w:y="1"/>
              <w:widowControl w:val="0"/>
              <w:keepNext w:val="0"/>
              <w:keepLines w:val="0"/>
              <w:shd w:val="clear" w:color="auto" w:fill="auto"/>
              <w:bidi w:val="0"/>
              <w:jc w:val="left"/>
              <w:spacing w:before="0" w:after="0" w:line="180" w:lineRule="exact"/>
              <w:ind w:left="60" w:right="0" w:firstLine="0"/>
            </w:pPr>
            <w:r>
              <w:rPr>
                <w:rStyle w:val="CharStyle15"/>
              </w:rPr>
              <w:t>Участник электронного аукциона</w:t>
            </w:r>
          </w:p>
        </w:tc>
        <w:tc>
          <w:tcPr>
            <w:shd w:val="clear" w:color="auto" w:fill="FFFFFF"/>
            <w:tcBorders/>
            <w:vAlign w:val="center"/>
          </w:tcPr>
          <w:p>
            <w:pPr>
              <w:pStyle w:val="Style7"/>
              <w:framePr w:w="10271" w:wrap="notBeside" w:vAnchor="text" w:hAnchor="text" w:xAlign="center" w:y="1"/>
              <w:widowControl w:val="0"/>
              <w:keepNext w:val="0"/>
              <w:keepLines w:val="0"/>
              <w:shd w:val="clear" w:color="auto" w:fill="auto"/>
              <w:bidi w:val="0"/>
              <w:jc w:val="center"/>
              <w:spacing w:before="0" w:after="0" w:line="202" w:lineRule="exact"/>
              <w:ind w:left="0" w:right="0" w:firstLine="0"/>
            </w:pPr>
            <w:r>
              <w:rPr>
                <w:rStyle w:val="CharStyle15"/>
              </w:rPr>
              <w:t>Решение о соответствии или о несоответствии заявки требованиям документации</w:t>
            </w:r>
          </w:p>
        </w:tc>
      </w:tr>
      <w:tr>
        <w:trPr>
          <w:trHeight w:val="806" w:hRule="exact"/>
        </w:trPr>
        <w:tc>
          <w:tcPr>
            <w:shd w:val="clear" w:color="auto" w:fill="FFFFFF"/>
            <w:tcBorders>
              <w:left w:val="single" w:sz="4"/>
            </w:tcBorders>
            <w:vAlign w:val="top"/>
          </w:tcPr>
          <w:p>
            <w:pPr>
              <w:pStyle w:val="Style7"/>
              <w:framePr w:w="10271" w:wrap="notBeside" w:vAnchor="text" w:hAnchor="text" w:xAlign="center" w:y="1"/>
              <w:widowControl w:val="0"/>
              <w:keepNext w:val="0"/>
              <w:keepLines w:val="0"/>
              <w:shd w:val="clear" w:color="auto" w:fill="auto"/>
              <w:bidi w:val="0"/>
              <w:jc w:val="left"/>
              <w:spacing w:before="0" w:after="0" w:line="170" w:lineRule="exact"/>
              <w:ind w:left="80" w:right="0" w:firstLine="0"/>
            </w:pPr>
            <w:r>
              <w:rPr>
                <w:rStyle w:val="CharStyle16"/>
              </w:rPr>
              <w:t>1537425</w:t>
            </w:r>
          </w:p>
        </w:tc>
        <w:tc>
          <w:tcPr>
            <w:shd w:val="clear" w:color="auto" w:fill="FFFFFF"/>
            <w:tcBorders>
              <w:left w:val="single" w:sz="4"/>
            </w:tcBorders>
            <w:vAlign w:val="top"/>
          </w:tcPr>
          <w:p>
            <w:pPr>
              <w:pStyle w:val="Style7"/>
              <w:framePr w:w="10271" w:wrap="notBeside" w:vAnchor="text" w:hAnchor="text" w:xAlign="center" w:y="1"/>
              <w:widowControl w:val="0"/>
              <w:keepNext w:val="0"/>
              <w:keepLines w:val="0"/>
              <w:shd w:val="clear" w:color="auto" w:fill="auto"/>
              <w:bidi w:val="0"/>
              <w:jc w:val="left"/>
              <w:spacing w:before="0" w:after="0" w:line="170" w:lineRule="exact"/>
              <w:ind w:left="60" w:right="0" w:firstLine="0"/>
            </w:pPr>
            <w:r>
              <w:rPr>
                <w:rStyle w:val="CharStyle16"/>
              </w:rPr>
              <w:t>359 975</w:t>
            </w:r>
          </w:p>
        </w:tc>
        <w:tc>
          <w:tcPr>
            <w:shd w:val="clear" w:color="auto" w:fill="FFFFFF"/>
            <w:tcBorders>
              <w:left w:val="single" w:sz="4"/>
            </w:tcBorders>
            <w:vAlign w:val="bottom"/>
          </w:tcPr>
          <w:p>
            <w:pPr>
              <w:pStyle w:val="Style7"/>
              <w:framePr w:w="10271" w:wrap="notBeside" w:vAnchor="text" w:hAnchor="text" w:xAlign="center" w:y="1"/>
              <w:widowControl w:val="0"/>
              <w:keepNext w:val="0"/>
              <w:keepLines w:val="0"/>
              <w:shd w:val="clear" w:color="auto" w:fill="auto"/>
              <w:bidi w:val="0"/>
              <w:jc w:val="left"/>
              <w:spacing w:before="0" w:after="0" w:line="205" w:lineRule="exact"/>
              <w:ind w:left="60" w:right="0" w:firstLine="0"/>
            </w:pPr>
            <w:r>
              <w:rPr>
                <w:rStyle w:val="CharStyle16"/>
              </w:rPr>
              <w:t>ВАЛЛЕР СТАНИСЛАВ ИГОРЕВИЧ (ИНН: 910204330199, Адрес: РЕСП</w:t>
            </w:r>
          </w:p>
          <w:p>
            <w:pPr>
              <w:pStyle w:val="Style7"/>
              <w:framePr w:w="10271" w:wrap="notBeside" w:vAnchor="text" w:hAnchor="text" w:xAlign="center" w:y="1"/>
              <w:widowControl w:val="0"/>
              <w:keepNext w:val="0"/>
              <w:keepLines w:val="0"/>
              <w:shd w:val="clear" w:color="auto" w:fill="auto"/>
              <w:bidi w:val="0"/>
              <w:jc w:val="left"/>
              <w:spacing w:before="0" w:after="0" w:line="205" w:lineRule="exact"/>
              <w:ind w:left="60" w:right="0" w:firstLine="0"/>
            </w:pPr>
            <w:r>
              <w:rPr>
                <w:rStyle w:val="CharStyle16"/>
              </w:rPr>
              <w:t>КРЫМ, Г СИМФЕРОПОЛЬ,)</w:t>
            </w:r>
          </w:p>
          <w:p>
            <w:pPr>
              <w:pStyle w:val="Style7"/>
              <w:framePr w:w="10271" w:wrap="notBeside" w:vAnchor="text" w:hAnchor="text" w:xAlign="center" w:y="1"/>
              <w:widowControl w:val="0"/>
              <w:keepNext w:val="0"/>
              <w:keepLines w:val="0"/>
              <w:shd w:val="clear" w:color="auto" w:fill="auto"/>
              <w:bidi w:val="0"/>
              <w:jc w:val="left"/>
              <w:spacing w:before="0" w:after="0" w:line="80" w:lineRule="exact"/>
              <w:ind w:left="1280" w:right="0" w:firstLine="0"/>
            </w:pPr>
            <w:r>
              <w:rPr>
                <w:rStyle w:val="CharStyle17"/>
              </w:rPr>
              <w:t>.</w:t>
            </w:r>
          </w:p>
        </w:tc>
        <w:tc>
          <w:tcPr>
            <w:shd w:val="clear" w:color="auto" w:fill="FFFFFF"/>
            <w:tcBorders>
              <w:right w:val="single" w:sz="4"/>
            </w:tcBorders>
            <w:vAlign w:val="top"/>
          </w:tcPr>
          <w:p>
            <w:pPr>
              <w:pStyle w:val="Style7"/>
              <w:framePr w:w="10271" w:wrap="notBeside" w:vAnchor="text" w:hAnchor="text" w:xAlign="center" w:y="1"/>
              <w:widowControl w:val="0"/>
              <w:keepNext w:val="0"/>
              <w:keepLines w:val="0"/>
              <w:shd w:val="clear" w:color="auto" w:fill="auto"/>
              <w:bidi w:val="0"/>
              <w:jc w:val="left"/>
              <w:spacing w:before="0" w:after="0" w:line="170" w:lineRule="exact"/>
              <w:ind w:left="60" w:right="0" w:firstLine="0"/>
            </w:pPr>
            <w:r>
              <w:rPr>
                <w:rStyle w:val="CharStyle16"/>
              </w:rPr>
              <w:t>Соответствует</w:t>
            </w:r>
          </w:p>
          <w:p>
            <w:pPr>
              <w:pStyle w:val="Style7"/>
              <w:framePr w:w="10271" w:wrap="notBeside" w:vAnchor="text" w:hAnchor="text" w:xAlign="center" w:y="1"/>
              <w:widowControl w:val="0"/>
              <w:keepNext w:val="0"/>
              <w:keepLines w:val="0"/>
              <w:shd w:val="clear" w:color="auto" w:fill="auto"/>
              <w:bidi w:val="0"/>
              <w:jc w:val="left"/>
              <w:spacing w:before="0" w:after="0" w:line="170" w:lineRule="exact"/>
              <w:ind w:left="60" w:right="0" w:firstLine="0"/>
            </w:pPr>
            <w:r>
              <w:rPr>
                <w:rStyle w:val="CharStyle16"/>
              </w:rPr>
              <w:t>требованиям</w:t>
            </w:r>
          </w:p>
        </w:tc>
      </w:tr>
      <w:tr>
        <w:trPr>
          <w:trHeight w:val="742" w:hRule="exact"/>
        </w:trPr>
        <w:tc>
          <w:tcPr>
            <w:shd w:val="clear" w:color="auto" w:fill="FFFFFF"/>
            <w:tcBorders>
              <w:left w:val="single" w:sz="4"/>
              <w:top w:val="single" w:sz="4"/>
              <w:bottom w:val="single" w:sz="4"/>
            </w:tcBorders>
            <w:vAlign w:val="top"/>
          </w:tcPr>
          <w:p>
            <w:pPr>
              <w:pStyle w:val="Style7"/>
              <w:framePr w:w="10271" w:wrap="notBeside" w:vAnchor="text" w:hAnchor="text" w:xAlign="center" w:y="1"/>
              <w:widowControl w:val="0"/>
              <w:keepNext w:val="0"/>
              <w:keepLines w:val="0"/>
              <w:shd w:val="clear" w:color="auto" w:fill="auto"/>
              <w:bidi w:val="0"/>
              <w:jc w:val="left"/>
              <w:spacing w:before="0" w:after="0" w:line="170" w:lineRule="exact"/>
              <w:ind w:left="80" w:right="0" w:firstLine="0"/>
            </w:pPr>
            <w:r>
              <w:rPr>
                <w:rStyle w:val="CharStyle16"/>
              </w:rPr>
              <w:t>1538169</w:t>
            </w:r>
          </w:p>
        </w:tc>
        <w:tc>
          <w:tcPr>
            <w:shd w:val="clear" w:color="auto" w:fill="FFFFFF"/>
            <w:tcBorders>
              <w:left w:val="single" w:sz="4"/>
              <w:top w:val="single" w:sz="4"/>
              <w:bottom w:val="single" w:sz="4"/>
            </w:tcBorders>
            <w:vAlign w:val="top"/>
          </w:tcPr>
          <w:p>
            <w:pPr>
              <w:pStyle w:val="Style7"/>
              <w:framePr w:w="10271" w:wrap="notBeside" w:vAnchor="text" w:hAnchor="text" w:xAlign="center" w:y="1"/>
              <w:widowControl w:val="0"/>
              <w:keepNext w:val="0"/>
              <w:keepLines w:val="0"/>
              <w:shd w:val="clear" w:color="auto" w:fill="auto"/>
              <w:bidi w:val="0"/>
              <w:jc w:val="left"/>
              <w:spacing w:before="0" w:after="0" w:line="170" w:lineRule="exact"/>
              <w:ind w:left="60" w:right="0" w:firstLine="0"/>
            </w:pPr>
            <w:r>
              <w:rPr>
                <w:rStyle w:val="CharStyle16"/>
              </w:rPr>
              <w:t>361 900</w:t>
            </w:r>
          </w:p>
        </w:tc>
        <w:tc>
          <w:tcPr>
            <w:shd w:val="clear" w:color="auto" w:fill="FFFFFF"/>
            <w:tcBorders>
              <w:left w:val="single" w:sz="4"/>
              <w:top w:val="single" w:sz="4"/>
              <w:bottom w:val="single" w:sz="4"/>
            </w:tcBorders>
            <w:vAlign w:val="bottom"/>
          </w:tcPr>
          <w:p>
            <w:pPr>
              <w:pStyle w:val="Style7"/>
              <w:framePr w:w="10271" w:wrap="notBeside" w:vAnchor="text" w:hAnchor="text" w:xAlign="center" w:y="1"/>
              <w:widowControl w:val="0"/>
              <w:keepNext w:val="0"/>
              <w:keepLines w:val="0"/>
              <w:shd w:val="clear" w:color="auto" w:fill="auto"/>
              <w:bidi w:val="0"/>
              <w:jc w:val="left"/>
              <w:spacing w:before="0" w:after="0" w:line="205" w:lineRule="exact"/>
              <w:ind w:left="60" w:right="0" w:firstLine="0"/>
            </w:pPr>
            <w:r>
              <w:rPr>
                <w:rStyle w:val="CharStyle16"/>
              </w:rPr>
              <w:t>ОБЩЕСТВО С ОГРАНИЧЕННОЙ ОТВЕТСТВЕННОСТЬЮ "ПЕРВАЯ ЧАСТНАЯ ОБЕСПЕЧИВАЮЩАЯ</w:t>
            </w:r>
          </w:p>
        </w:tc>
        <w:tc>
          <w:tcPr>
            <w:shd w:val="clear" w:color="auto" w:fill="FFFFFF"/>
            <w:tcBorders>
              <w:right w:val="single" w:sz="4"/>
              <w:top w:val="single" w:sz="4"/>
              <w:bottom w:val="single" w:sz="4"/>
            </w:tcBorders>
            <w:vAlign w:val="center"/>
          </w:tcPr>
          <w:p>
            <w:pPr>
              <w:pStyle w:val="Style7"/>
              <w:framePr w:w="10271" w:wrap="notBeside" w:vAnchor="text" w:hAnchor="text" w:xAlign="center" w:y="1"/>
              <w:widowControl w:val="0"/>
              <w:keepNext w:val="0"/>
              <w:keepLines w:val="0"/>
              <w:shd w:val="clear" w:color="auto" w:fill="auto"/>
              <w:bidi w:val="0"/>
              <w:jc w:val="left"/>
              <w:spacing w:before="0" w:after="0" w:line="170" w:lineRule="exact"/>
              <w:ind w:left="60" w:right="0" w:firstLine="0"/>
            </w:pPr>
            <w:r>
              <w:rPr>
                <w:rStyle w:val="CharStyle16"/>
              </w:rPr>
              <w:t>Соответствует</w:t>
            </w:r>
          </w:p>
          <w:p>
            <w:pPr>
              <w:pStyle w:val="Style7"/>
              <w:framePr w:w="10271" w:wrap="notBeside" w:vAnchor="text" w:hAnchor="text" w:xAlign="center" w:y="1"/>
              <w:widowControl w:val="0"/>
              <w:keepNext w:val="0"/>
              <w:keepLines w:val="0"/>
              <w:shd w:val="clear" w:color="auto" w:fill="auto"/>
              <w:bidi w:val="0"/>
              <w:jc w:val="left"/>
              <w:spacing w:before="0" w:after="0" w:line="170" w:lineRule="exact"/>
              <w:ind w:left="60" w:right="0" w:firstLine="0"/>
            </w:pPr>
            <w:r>
              <w:rPr>
                <w:rStyle w:val="CharStyle16"/>
              </w:rPr>
              <w:t>требованиям</w:t>
            </w:r>
          </w:p>
        </w:tc>
      </w:tr>
    </w:tbl>
    <w:p>
      <w:pPr>
        <w:widowControl w:val="0"/>
        <w:rPr>
          <w:sz w:val="2"/>
          <w:szCs w:val="2"/>
        </w:rPr>
      </w:pPr>
    </w:p>
    <w:p>
      <w:pPr>
        <w:pStyle w:val="Style18"/>
        <w:widowControl w:val="0"/>
        <w:keepNext w:val="0"/>
        <w:keepLines w:val="0"/>
        <w:shd w:val="clear" w:color="auto" w:fill="auto"/>
        <w:bidi w:val="0"/>
        <w:jc w:val="left"/>
        <w:spacing w:before="0" w:after="388"/>
        <w:ind w:left="4960" w:right="2460" w:firstLine="0"/>
      </w:pPr>
      <w:r>
        <w:rPr>
          <w:lang w:val="ru-RU" w:eastAsia="ru-RU" w:bidi="ru-RU"/>
          <w:w w:val="100"/>
          <w:spacing w:val="0"/>
          <w:color w:val="000000"/>
          <w:position w:val="0"/>
        </w:rPr>
        <w:t>ПЕРСОНАЛОМ ФИРМА "СОТРУДНИК" (ИНН: 9103086905, КПП: 910301001, Адрес: 298641, РЕСП КРЫМ, Г ЯЛТА, П ЛИНЕЙНОЕ, УЛ ШОССЕЙНАЯ, ДОМ 5, КВАРТИРА 6)</w:t>
      </w:r>
    </w:p>
    <w:p>
      <w:pPr>
        <w:pStyle w:val="Style7"/>
        <w:widowControl w:val="0"/>
        <w:keepNext w:val="0"/>
        <w:keepLines w:val="0"/>
        <w:shd w:val="clear" w:color="auto" w:fill="auto"/>
        <w:bidi w:val="0"/>
        <w:spacing w:before="0" w:after="0" w:line="320" w:lineRule="exact"/>
        <w:ind w:left="40" w:right="20" w:firstLine="720"/>
      </w:pPr>
      <w:r>
        <w:rPr>
          <w:lang w:val="ru-RU" w:eastAsia="ru-RU" w:bidi="ru-RU"/>
          <w:w w:val="100"/>
          <w:spacing w:val="0"/>
          <w:color w:val="000000"/>
          <w:position w:val="0"/>
        </w:rPr>
        <w:t>На основании части 10 статьи 69 Закона о контрактной системе победителем Закупки стал участник Валл ер Станислав Игоревич.</w:t>
      </w:r>
    </w:p>
    <w:p>
      <w:pPr>
        <w:pStyle w:val="Style7"/>
        <w:widowControl w:val="0"/>
        <w:keepNext w:val="0"/>
        <w:keepLines w:val="0"/>
        <w:shd w:val="clear" w:color="auto" w:fill="auto"/>
        <w:bidi w:val="0"/>
        <w:spacing w:before="0" w:after="0" w:line="320" w:lineRule="exact"/>
        <w:ind w:left="40" w:right="20" w:firstLine="720"/>
      </w:pPr>
      <w:r>
        <w:rPr>
          <w:lang w:val="ru-RU" w:eastAsia="ru-RU" w:bidi="ru-RU"/>
          <w:w w:val="100"/>
          <w:spacing w:val="0"/>
          <w:color w:val="000000"/>
          <w:position w:val="0"/>
        </w:rPr>
        <w:t>Согласно доводу жалобы, Заказчик неправомерно признал соответствующей требованиям, установленным документацией, вторую часть заявки на участие Валлер Станислава Игоревича, так как данный участник не является лицом, имеющим право осуществлять деятельность по предоставлению труда работников (персонала) в соответствии с частью 3 статьи 18 Закона Российской Федерации от 19.04.1991 №1032-1 «О занятости населения в Российской Федерации» (далее - Закон о занятости населения).</w:t>
      </w:r>
    </w:p>
    <w:p>
      <w:pPr>
        <w:pStyle w:val="Style7"/>
        <w:widowControl w:val="0"/>
        <w:keepNext w:val="0"/>
        <w:keepLines w:val="0"/>
        <w:shd w:val="clear" w:color="auto" w:fill="auto"/>
        <w:bidi w:val="0"/>
        <w:spacing w:before="0" w:after="0" w:line="320" w:lineRule="exact"/>
        <w:ind w:left="40" w:right="20" w:firstLine="720"/>
      </w:pPr>
      <w:r>
        <w:rPr>
          <w:lang w:val="ru-RU" w:eastAsia="ru-RU" w:bidi="ru-RU"/>
          <w:w w:val="100"/>
          <w:spacing w:val="0"/>
          <w:color w:val="000000"/>
          <w:position w:val="0"/>
        </w:rPr>
        <w:t>Частью 3 статьи 18.1 Закона о занятости населения установлено, что осуществлять деятельность по предоставлению труда работников (персонала) вправе:</w:t>
      </w:r>
    </w:p>
    <w:p>
      <w:pPr>
        <w:pStyle w:val="Style7"/>
        <w:numPr>
          <w:ilvl w:val="0"/>
          <w:numId w:val="11"/>
        </w:numPr>
        <w:widowControl w:val="0"/>
        <w:keepNext w:val="0"/>
        <w:keepLines w:val="0"/>
        <w:shd w:val="clear" w:color="auto" w:fill="auto"/>
        <w:bidi w:val="0"/>
        <w:spacing w:before="0" w:after="0" w:line="320" w:lineRule="exact"/>
        <w:ind w:left="40" w:right="20" w:firstLine="720"/>
      </w:pPr>
      <w:r>
        <w:rPr>
          <w:lang w:val="ru-RU" w:eastAsia="ru-RU" w:bidi="ru-RU"/>
          <w:w w:val="100"/>
          <w:spacing w:val="0"/>
          <w:color w:val="000000"/>
          <w:position w:val="0"/>
        </w:rPr>
        <w:t xml:space="preserve"> частные агентства занятости - юридические лица, зарегистрированные на территории Российской Федерации и прошедшие аккредитацию на право осуществления данного вида деятельности, проводимую уполномоченным федеральным органом исполнительной власти в порядке, установленном Правительством Российской Федерации с учетом мнения Российской трехсторонней комиссии по регулированию социально-трудовых отношений;</w:t>
      </w:r>
    </w:p>
    <w:p>
      <w:pPr>
        <w:pStyle w:val="Style7"/>
        <w:numPr>
          <w:ilvl w:val="0"/>
          <w:numId w:val="11"/>
        </w:numPr>
        <w:widowControl w:val="0"/>
        <w:keepNext w:val="0"/>
        <w:keepLines w:val="0"/>
        <w:shd w:val="clear" w:color="auto" w:fill="auto"/>
        <w:bidi w:val="0"/>
        <w:spacing w:before="0" w:after="0" w:line="320" w:lineRule="exact"/>
        <w:ind w:left="40" w:right="20" w:firstLine="720"/>
      </w:pPr>
      <w:r>
        <w:rPr>
          <w:lang w:val="ru-RU" w:eastAsia="ru-RU" w:bidi="ru-RU"/>
          <w:w w:val="100"/>
          <w:spacing w:val="0"/>
          <w:color w:val="000000"/>
          <w:position w:val="0"/>
        </w:rPr>
        <w:t xml:space="preserve"> другие юридические лица, в том числе иностранные юридические лица и их аффилированные лица (за исключением физических лиц), на условиях и в порядке, которые установлены федеральным законом, в случаях, если работники с их согласия направляются временно к:</w:t>
      </w:r>
    </w:p>
    <w:p>
      <w:pPr>
        <w:pStyle w:val="Style7"/>
        <w:numPr>
          <w:ilvl w:val="0"/>
          <w:numId w:val="5"/>
        </w:numPr>
        <w:widowControl w:val="0"/>
        <w:keepNext w:val="0"/>
        <w:keepLines w:val="0"/>
        <w:shd w:val="clear" w:color="auto" w:fill="auto"/>
        <w:bidi w:val="0"/>
        <w:spacing w:before="0" w:after="0" w:line="320" w:lineRule="exact"/>
        <w:ind w:left="40" w:right="20" w:firstLine="720"/>
      </w:pPr>
      <w:r>
        <w:rPr>
          <w:lang w:val="ru-RU" w:eastAsia="ru-RU" w:bidi="ru-RU"/>
          <w:w w:val="100"/>
          <w:spacing w:val="0"/>
          <w:color w:val="000000"/>
          <w:position w:val="0"/>
        </w:rPr>
        <w:t xml:space="preserve"> юридическому лицу, являющемуся аффилированным лицом по отношению к направляющей стороне;</w:t>
      </w:r>
    </w:p>
    <w:p>
      <w:pPr>
        <w:pStyle w:val="Style7"/>
        <w:numPr>
          <w:ilvl w:val="0"/>
          <w:numId w:val="5"/>
        </w:numPr>
        <w:widowControl w:val="0"/>
        <w:keepNext w:val="0"/>
        <w:keepLines w:val="0"/>
        <w:shd w:val="clear" w:color="auto" w:fill="auto"/>
        <w:bidi w:val="0"/>
        <w:spacing w:before="0" w:after="0" w:line="320" w:lineRule="exact"/>
        <w:ind w:left="40" w:right="20" w:firstLine="720"/>
      </w:pPr>
      <w:r>
        <w:rPr>
          <w:lang w:val="ru-RU" w:eastAsia="ru-RU" w:bidi="ru-RU"/>
          <w:w w:val="100"/>
          <w:spacing w:val="0"/>
          <w:color w:val="000000"/>
          <w:position w:val="0"/>
        </w:rPr>
        <w:t xml:space="preserve"> юридическому лицу, являющемуся акционерным обществом, если направляющая сторона является стороной акционерного соглашения об осуществлении прав, удостоверенных акциями такого акционерного общества;</w:t>
      </w:r>
    </w:p>
    <w:p>
      <w:pPr>
        <w:pStyle w:val="Style7"/>
        <w:numPr>
          <w:ilvl w:val="0"/>
          <w:numId w:val="5"/>
        </w:numPr>
        <w:widowControl w:val="0"/>
        <w:keepNext w:val="0"/>
        <w:keepLines w:val="0"/>
        <w:shd w:val="clear" w:color="auto" w:fill="auto"/>
        <w:bidi w:val="0"/>
        <w:spacing w:before="0" w:after="0" w:line="320" w:lineRule="exact"/>
        <w:ind w:left="40" w:right="20" w:firstLine="720"/>
      </w:pPr>
      <w:r>
        <w:rPr>
          <w:lang w:val="ru-RU" w:eastAsia="ru-RU" w:bidi="ru-RU"/>
          <w:w w:val="100"/>
          <w:spacing w:val="0"/>
          <w:color w:val="000000"/>
          <w:position w:val="0"/>
        </w:rPr>
        <w:t xml:space="preserve"> юридическому лицу, являющемуся стороной акционерного соглашения с направляющей стороной.</w:t>
      </w:r>
    </w:p>
    <w:p>
      <w:pPr>
        <w:pStyle w:val="Style7"/>
        <w:widowControl w:val="0"/>
        <w:keepNext w:val="0"/>
        <w:keepLines w:val="0"/>
        <w:shd w:val="clear" w:color="auto" w:fill="auto"/>
        <w:bidi w:val="0"/>
        <w:spacing w:before="0" w:after="0" w:line="320" w:lineRule="exact"/>
        <w:ind w:left="40" w:right="20" w:firstLine="720"/>
      </w:pPr>
      <w:r>
        <w:rPr>
          <w:lang w:val="ru-RU" w:eastAsia="ru-RU" w:bidi="ru-RU"/>
          <w:w w:val="100"/>
          <w:spacing w:val="0"/>
          <w:color w:val="000000"/>
          <w:position w:val="0"/>
        </w:rPr>
        <w:t>В силу пункта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7"/>
        <w:widowControl w:val="0"/>
        <w:keepNext w:val="0"/>
        <w:keepLines w:val="0"/>
        <w:shd w:val="clear" w:color="auto" w:fill="auto"/>
        <w:bidi w:val="0"/>
        <w:spacing w:before="0" w:after="0" w:line="320" w:lineRule="exact"/>
        <w:ind w:left="40" w:right="20" w:firstLine="720"/>
      </w:pPr>
      <w:r>
        <w:rPr>
          <w:lang w:val="ru-RU" w:eastAsia="ru-RU" w:bidi="ru-RU"/>
          <w:w w:val="100"/>
          <w:spacing w:val="0"/>
          <w:color w:val="000000"/>
          <w:position w:val="0"/>
        </w:rPr>
        <w:t>В соответствии с пунктом 22 части 1 «Информационная карта» документации о Закупке вторая часть заявки на участие в электронном аукционе должна содержать, в том числе, документы, подтверждающие соответствие участника такого аукциона требованиям, установленным пунктом 1 части 1 статьи 31 Закона о контрактной системе, или копии этих документов, а также декларация о соответствии участника такого аукциона требованиям, установленным пунктами 3-9 части 1 статьи 31</w:t>
      </w:r>
    </w:p>
    <w:p>
      <w:pPr>
        <w:pStyle w:val="Style7"/>
        <w:widowControl w:val="0"/>
        <w:keepNext w:val="0"/>
        <w:keepLines w:val="0"/>
        <w:shd w:val="clear" w:color="auto" w:fill="auto"/>
        <w:bidi w:val="0"/>
        <w:spacing w:before="0" w:after="0" w:line="320" w:lineRule="exact"/>
        <w:ind w:left="0" w:right="20" w:firstLine="0"/>
      </w:pPr>
      <w:r>
        <w:rPr>
          <w:lang w:val="ru-RU" w:eastAsia="ru-RU" w:bidi="ru-RU"/>
          <w:w w:val="100"/>
          <w:spacing w:val="0"/>
          <w:color w:val="000000"/>
          <w:position w:val="0"/>
        </w:rPr>
        <w:t>Закона о контрактной системе (указанная декларация предоставляется с использованием программно-аппаратных средств электронной площадки). При этом указание на соответствие участника Закупки требованиям, установленным частью 3 статьи 18 Закона о занятости населения, документация не содержит.</w:t>
      </w:r>
    </w:p>
    <w:p>
      <w:pPr>
        <w:pStyle w:val="Style7"/>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На заседании Комиссии представитель Заказчика пояснила, что в документации о Закупке не установлены требования к участникам Закупки о наличии аккредитации на оказание услуг по предоставлению труда работников (персонала), а также проект государственного контракта не содержит условий в соответствии с Законом о занятости населения, в связи с тем, что предметом государственного контракта является оказание услуг системного администратора.</w:t>
      </w:r>
    </w:p>
    <w:p>
      <w:pPr>
        <w:pStyle w:val="Style7"/>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Исполнитель, согласно пункту 1.1. проекта контракта (часть 4 документации), обязуется по заданию Заказчика оказать следующие услуги:</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устанавливает на серверы и рабочие станции операционные системы и необходимое для работы программное обеспечение.</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осуществляет конфигурацию программного обеспечения на серверах и рабочих станциях.</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поддерживает в работоспособном состоянии программное обеспечение серверов и рабочих станций.</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регистрирует пользователей локальной сети и почтового сервера, назначает идентификаторы и пароли.</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осуществляет техническую и программную поддержку пользователей, консультирует пользователей по вопросам работы локальной сети и программ, составляет инструкции по работе с программным обеспечением и доводит их до сведения пользователей.</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устанавливает права доступа и контролирует использование сетевых ресурсов.</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обеспечивает своевременное копирование, архивирование и резервирование данных.</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принимает меры по восстановлению работоспособности локальной сети при сбоях или выходе из строя сетевого оборудования.</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выявляет ошибки пользователей и программного обеспечения и принимает меры по их исправлению.</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проводит мониторинг сети, разрабатывает предложения по развитию инфраструктуры сети.</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обеспечивает сетевую безопасность (защиту от несанкционированного доступа к информации, просмотра или изменения системных файлов и данных), безопасность межсетевого взаимодействия.</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осуществляет антивирусную защиту локальной вычислительной сети, серверов и рабочих станций.</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готовит предложения по модернизации и приобретению сетевого оборудования.</w:t>
      </w:r>
    </w:p>
    <w:p>
      <w:pPr>
        <w:pStyle w:val="Style7"/>
        <w:numPr>
          <w:ilvl w:val="0"/>
          <w:numId w:val="5"/>
        </w:numPr>
        <w:widowControl w:val="0"/>
        <w:keepNext w:val="0"/>
        <w:keepLines w:val="0"/>
        <w:shd w:val="clear" w:color="auto" w:fill="auto"/>
        <w:bidi w:val="0"/>
        <w:spacing w:before="0" w:after="0" w:line="320" w:lineRule="exact"/>
        <w:ind w:left="0" w:right="20" w:firstLine="720"/>
      </w:pPr>
      <w:r>
        <w:rPr>
          <w:lang w:val="ru-RU" w:eastAsia="ru-RU" w:bidi="ru-RU"/>
          <w:w w:val="100"/>
          <w:spacing w:val="0"/>
          <w:color w:val="000000"/>
          <w:position w:val="0"/>
        </w:rPr>
        <w:t xml:space="preserve"> осуществляет контроль за монтажом оборудования локальной сети специалистами сторонних организаций</w:t>
      </w:r>
    </w:p>
    <w:p>
      <w:pPr>
        <w:pStyle w:val="Style7"/>
        <w:widowControl w:val="0"/>
        <w:keepNext w:val="0"/>
        <w:keepLines w:val="0"/>
        <w:shd w:val="clear" w:color="auto" w:fill="auto"/>
        <w:bidi w:val="0"/>
        <w:jc w:val="left"/>
        <w:spacing w:before="0" w:after="0" w:line="320" w:lineRule="exact"/>
        <w:ind w:left="0" w:right="20" w:firstLine="1340"/>
      </w:pPr>
      <w:r>
        <w:rPr>
          <w:lang w:val="ru-RU" w:eastAsia="ru-RU" w:bidi="ru-RU"/>
          <w:w w:val="100"/>
          <w:spacing w:val="0"/>
          <w:color w:val="000000"/>
          <w:position w:val="0"/>
        </w:rPr>
        <w:t>обеспечивает бесперебойное функционирование электронного документооборота</w:t>
      </w:r>
      <w:r>
        <w:br w:type="page"/>
      </w:r>
    </w:p>
    <w:p>
      <w:pPr>
        <w:pStyle w:val="Style7"/>
        <w:numPr>
          <w:ilvl w:val="0"/>
          <w:numId w:val="5"/>
        </w:numPr>
        <w:widowControl w:val="0"/>
        <w:keepNext w:val="0"/>
        <w:keepLines w:val="0"/>
        <w:shd w:val="clear" w:color="auto" w:fill="auto"/>
        <w:bidi w:val="0"/>
        <w:spacing w:before="0" w:after="0" w:line="335" w:lineRule="exact"/>
        <w:ind w:left="20" w:right="20" w:firstLine="720"/>
      </w:pPr>
      <w:r>
        <w:rPr>
          <w:lang w:val="ru-RU" w:eastAsia="ru-RU" w:bidi="ru-RU"/>
          <w:w w:val="100"/>
          <w:spacing w:val="0"/>
          <w:color w:val="000000"/>
          <w:position w:val="0"/>
        </w:rPr>
        <w:t xml:space="preserve"> разрабатывает и внедряет специальные программные обеспечения для нужд организации</w:t>
      </w:r>
    </w:p>
    <w:p>
      <w:pPr>
        <w:pStyle w:val="Style7"/>
        <w:numPr>
          <w:ilvl w:val="0"/>
          <w:numId w:val="5"/>
        </w:numPr>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 xml:space="preserve"> поддержка в работоспособном состояние систем видеонаблюдения, контроля доступа, охранной сигнализации.</w:t>
      </w:r>
    </w:p>
    <w:p>
      <w:pPr>
        <w:pStyle w:val="Style7"/>
        <w:numPr>
          <w:ilvl w:val="0"/>
          <w:numId w:val="5"/>
        </w:numPr>
        <w:widowControl w:val="0"/>
        <w:keepNext w:val="0"/>
        <w:keepLines w:val="0"/>
        <w:shd w:val="clear" w:color="auto" w:fill="auto"/>
        <w:bidi w:val="0"/>
        <w:spacing w:before="0" w:after="0" w:line="320" w:lineRule="exact"/>
        <w:ind w:left="20" w:right="0" w:firstLine="720"/>
      </w:pPr>
      <w:r>
        <w:rPr>
          <w:lang w:val="ru-RU" w:eastAsia="ru-RU" w:bidi="ru-RU"/>
          <w:w w:val="100"/>
          <w:spacing w:val="0"/>
          <w:color w:val="000000"/>
          <w:position w:val="0"/>
        </w:rPr>
        <w:t xml:space="preserve"> администрирование сайта Постоянного представительства</w:t>
      </w:r>
    </w:p>
    <w:p>
      <w:pPr>
        <w:pStyle w:val="Style7"/>
        <w:numPr>
          <w:ilvl w:val="0"/>
          <w:numId w:val="5"/>
        </w:numPr>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 xml:space="preserve"> при возникновении у Заказчика потребности в услугах, не перечисленных в п. 1.1.1 настоящего технического задания, но относящихся к компетенции Исполнителя, Исполнитель обязан оказать их без взимания дополнительной платы за свои услуги.</w:t>
      </w:r>
    </w:p>
    <w:p>
      <w:pPr>
        <w:pStyle w:val="Style7"/>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Следовательно, речь идет не о предоставлении персонала, а о предоставлении услуги.</w:t>
      </w:r>
    </w:p>
    <w:p>
      <w:pPr>
        <w:pStyle w:val="Style7"/>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Комиссия отмечает, что Закон о занятости населения определяет правовые, экономические и организационные основы государственной политики содействия занятости населения, в том числе гарантии государства по реализации конституционных прав граждан Российской Федерации на труд и социальную защиту от безработицы. Соответственно, статья 18.1 Закона о занятости населения регулирует отношения, возникающие в рамках трудоустройства населения.</w:t>
      </w:r>
    </w:p>
    <w:p>
      <w:pPr>
        <w:pStyle w:val="Style7"/>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Предметом Закупки являются именно услуги системного администратора, а не подбор персонала, в связи с чем от участников не требуется соответствие части 3 статьи 18 Закона о занятости населения.</w:t>
      </w:r>
    </w:p>
    <w:p>
      <w:pPr>
        <w:pStyle w:val="Style7"/>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Вместе с тем, на заседание Комиссии Заявитель явку представителей не обеспечил, а также не представил доказательств, подтверждающих обоснованность довода, изложенного в жалобе.</w:t>
      </w:r>
    </w:p>
    <w:p>
      <w:pPr>
        <w:pStyle w:val="Style7"/>
        <w:widowControl w:val="0"/>
        <w:keepNext w:val="0"/>
        <w:keepLines w:val="0"/>
        <w:shd w:val="clear" w:color="auto" w:fill="auto"/>
        <w:bidi w:val="0"/>
        <w:spacing w:before="0" w:after="348" w:line="320" w:lineRule="exact"/>
        <w:ind w:left="20" w:right="20" w:firstLine="72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362" w:line="260" w:lineRule="exact"/>
        <w:ind w:left="4920" w:right="0" w:firstLine="0"/>
      </w:pPr>
      <w:r>
        <w:rPr>
          <w:lang w:val="ru-RU" w:eastAsia="ru-RU" w:bidi="ru-RU"/>
          <w:w w:val="100"/>
          <w:spacing w:val="0"/>
          <w:color w:val="000000"/>
          <w:position w:val="0"/>
        </w:rPr>
        <w:t>РЕШИЛА:</w:t>
      </w:r>
    </w:p>
    <w:p>
      <w:pPr>
        <w:pStyle w:val="Style7"/>
        <w:widowControl w:val="0"/>
        <w:keepNext w:val="0"/>
        <w:keepLines w:val="0"/>
        <w:shd w:val="clear" w:color="auto" w:fill="auto"/>
        <w:bidi w:val="0"/>
        <w:spacing w:before="0" w:after="317" w:line="260" w:lineRule="exact"/>
        <w:ind w:left="20" w:right="0" w:firstLine="720"/>
      </w:pPr>
      <w:r>
        <w:rPr>
          <w:lang w:val="ru-RU" w:eastAsia="ru-RU" w:bidi="ru-RU"/>
          <w:w w:val="100"/>
          <w:spacing w:val="0"/>
          <w:color w:val="000000"/>
          <w:position w:val="0"/>
        </w:rPr>
        <w:t>Признать жалобу Заявителя необоснованной.</w:t>
      </w:r>
    </w:p>
    <w:p>
      <w:pPr>
        <w:pStyle w:val="Style7"/>
        <w:widowControl w:val="0"/>
        <w:keepNext w:val="0"/>
        <w:keepLines w:val="0"/>
        <w:shd w:val="clear" w:color="auto" w:fill="auto"/>
        <w:bidi w:val="0"/>
        <w:spacing w:before="0" w:after="341" w:line="317" w:lineRule="exact"/>
        <w:ind w:left="20" w:right="20" w:firstLine="0"/>
      </w:pPr>
      <w:r>
        <w:rPr>
          <w:lang w:val="ru-RU" w:eastAsia="ru-RU" w:bidi="ru-RU"/>
          <w:w w:val="100"/>
          <w:spacing w:val="0"/>
          <w:color w:val="000000"/>
          <w:position w:val="0"/>
        </w:rPr>
        <w:t>Настоящее решение может быть обжаловано в трех месяцев со дня его принятия.</w:t>
      </w:r>
    </w:p>
    <w:p>
      <w:pPr>
        <w:pStyle w:val="Style7"/>
        <w:framePr w:w="1812" w:h="1936" w:wrap="around" w:vAnchor="text" w:hAnchor="margin" w:x="8400" w:y="-298"/>
        <w:widowControl w:val="0"/>
        <w:keepNext w:val="0"/>
        <w:keepLines w:val="0"/>
        <w:shd w:val="clear" w:color="auto" w:fill="auto"/>
        <w:bidi w:val="0"/>
        <w:jc w:val="left"/>
        <w:spacing w:before="0" w:after="0" w:line="644" w:lineRule="exact"/>
        <w:ind w:left="100" w:right="0" w:firstLine="480"/>
      </w:pPr>
      <w:r>
        <w:rPr>
          <w:rStyle w:val="CharStyle11"/>
          <w:spacing w:val="0"/>
        </w:rPr>
        <w:t>. Хасанов Т.С. Демченко Т.А. Кочетова</w:t>
      </w:r>
    </w:p>
    <w:p>
      <w:pPr>
        <w:pStyle w:val="Style7"/>
        <w:widowControl w:val="0"/>
        <w:keepNext w:val="0"/>
        <w:keepLines w:val="0"/>
        <w:shd w:val="clear" w:color="auto" w:fill="auto"/>
        <w:bidi w:val="0"/>
        <w:jc w:val="left"/>
        <w:spacing w:before="0" w:after="0" w:line="641" w:lineRule="exact"/>
        <w:ind w:left="20" w:right="3680" w:firstLine="0"/>
      </w:pPr>
      <w:r>
        <w:rPr>
          <w:lang w:val="ru-RU" w:eastAsia="ru-RU" w:bidi="ru-RU"/>
          <w:w w:val="100"/>
          <w:spacing w:val="0"/>
          <w:color w:val="000000"/>
          <w:position w:val="0"/>
        </w:rPr>
        <w:t>Председатель Комиссии Члены Комиссии:</w:t>
      </w:r>
    </w:p>
    <w:sectPr>
      <w:type w:val="continuous"/>
      <w:pgSz w:w="11906" w:h="16838"/>
      <w:pgMar w:top="1183" w:left="857" w:right="771" w:bottom="83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2.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2.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13">
    <w:name w:val="Подпись к таблице_"/>
    <w:basedOn w:val="DefaultParagraphFont"/>
    <w:link w:val="Style12"/>
    <w:rPr>
      <w:b/>
      <w:bCs/>
      <w:i w:val="0"/>
      <w:iCs w:val="0"/>
      <w:u w:val="none"/>
      <w:strike w:val="0"/>
      <w:smallCaps w:val="0"/>
      <w:sz w:val="18"/>
      <w:szCs w:val="18"/>
      <w:rFonts w:ascii="Arial" w:eastAsia="Arial" w:hAnsi="Arial" w:cs="Arial"/>
    </w:rPr>
  </w:style>
  <w:style w:type="character" w:customStyle="1" w:styleId="CharStyle14">
    <w:name w:val="Подпись к таблице"/>
    <w:basedOn w:val="CharStyle13"/>
    <w:rPr>
      <w:lang w:val="ru-RU" w:eastAsia="ru-RU" w:bidi="ru-RU"/>
      <w:w w:val="100"/>
      <w:spacing w:val="0"/>
      <w:color w:val="FFFFFF"/>
      <w:position w:val="0"/>
    </w:rPr>
  </w:style>
  <w:style w:type="character" w:customStyle="1" w:styleId="CharStyle15">
    <w:name w:val="Основной текст + Arial,9 pt,Полужирный"/>
    <w:basedOn w:val="CharStyle8"/>
    <w:rPr>
      <w:lang w:val="ru-RU" w:eastAsia="ru-RU" w:bidi="ru-RU"/>
      <w:b/>
      <w:bCs/>
      <w:sz w:val="18"/>
      <w:szCs w:val="18"/>
      <w:rFonts w:ascii="Arial" w:eastAsia="Arial" w:hAnsi="Arial" w:cs="Arial"/>
      <w:w w:val="100"/>
      <w:spacing w:val="0"/>
      <w:color w:val="000000"/>
      <w:position w:val="0"/>
    </w:rPr>
  </w:style>
  <w:style w:type="character" w:customStyle="1" w:styleId="CharStyle16">
    <w:name w:val="Основной текст + Arial,8,5 pt"/>
    <w:basedOn w:val="CharStyle8"/>
    <w:rPr>
      <w:lang w:val="ru-RU" w:eastAsia="ru-RU" w:bidi="ru-RU"/>
      <w:sz w:val="17"/>
      <w:szCs w:val="17"/>
      <w:rFonts w:ascii="Arial" w:eastAsia="Arial" w:hAnsi="Arial" w:cs="Arial"/>
      <w:w w:val="100"/>
      <w:spacing w:val="0"/>
      <w:color w:val="000000"/>
      <w:position w:val="0"/>
    </w:rPr>
  </w:style>
  <w:style w:type="character" w:customStyle="1" w:styleId="CharStyle17">
    <w:name w:val="Основной текст + Arial,4 pt"/>
    <w:basedOn w:val="CharStyle8"/>
    <w:rPr>
      <w:lang w:val="ru-RU" w:eastAsia="ru-RU" w:bidi="ru-RU"/>
      <w:sz w:val="8"/>
      <w:szCs w:val="8"/>
      <w:rFonts w:ascii="Arial" w:eastAsia="Arial" w:hAnsi="Arial" w:cs="Arial"/>
      <w:w w:val="100"/>
      <w:spacing w:val="0"/>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17"/>
      <w:szCs w:val="17"/>
      <w:rFonts w:ascii="Arial" w:eastAsia="Arial" w:hAnsi="Arial" w:cs="Arial"/>
    </w:rPr>
  </w:style>
  <w:style w:type="paragraph" w:customStyle="1" w:styleId="Style3">
    <w:name w:val="Основной текст (2)"/>
    <w:basedOn w:val="Normal"/>
    <w:link w:val="CharStyle4"/>
    <w:pPr>
      <w:widowControl w:val="0"/>
      <w:shd w:val="clear" w:color="auto" w:fill="FFFFFF"/>
      <w:jc w:val="center"/>
      <w:spacing w:after="180" w:line="270"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7"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before="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spacing w:line="32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Подпись к таблице"/>
    <w:basedOn w:val="Normal"/>
    <w:link w:val="CharStyle13"/>
    <w:pPr>
      <w:widowControl w:val="0"/>
      <w:shd w:val="clear" w:color="auto" w:fill="FFFFFF"/>
      <w:jc w:val="both"/>
      <w:spacing w:line="209" w:lineRule="exact"/>
    </w:pPr>
    <w:rPr>
      <w:b/>
      <w:bCs/>
      <w:i w:val="0"/>
      <w:iCs w:val="0"/>
      <w:u w:val="none"/>
      <w:strike w:val="0"/>
      <w:smallCaps w:val="0"/>
      <w:sz w:val="18"/>
      <w:szCs w:val="18"/>
      <w:rFonts w:ascii="Arial" w:eastAsia="Arial" w:hAnsi="Arial" w:cs="Arial"/>
    </w:rPr>
  </w:style>
  <w:style w:type="paragraph" w:customStyle="1" w:styleId="Style18">
    <w:name w:val="Основной текст (5)"/>
    <w:basedOn w:val="Normal"/>
    <w:link w:val="CharStyle19"/>
    <w:pPr>
      <w:widowControl w:val="0"/>
      <w:shd w:val="clear" w:color="auto" w:fill="FFFFFF"/>
      <w:spacing w:after="480" w:line="205" w:lineRule="exact"/>
    </w:pPr>
    <w:rPr>
      <w:b w:val="0"/>
      <w:bCs w:val="0"/>
      <w:i w:val="0"/>
      <w:iCs w:val="0"/>
      <w:u w:val="none"/>
      <w:strike w:val="0"/>
      <w:smallCaps w:val="0"/>
      <w:sz w:val="17"/>
      <w:szCs w:val="17"/>
      <w:rFonts w:ascii="Arial" w:eastAsia="Arial" w:hAnsi="Arial" w:cs="Arial"/>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