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161" w:left="2520" w:right="8568" w:bottom="617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24"/>
        <w:ind w:left="0" w:right="0" w:firstLine="0"/>
      </w:pPr>
      <w:r>
        <w:rPr>
          <w:rStyle w:val="CharStyle5"/>
          <w:b/>
          <w:bCs/>
        </w:rPr>
        <w:t>ФЕДЕРАЛЬНАЯ АНТИМОНОПОЛЬНАЯ СЛУЖБА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09" w:line="230" w:lineRule="exact"/>
        <w:ind w:left="0" w:right="0" w:firstLine="0"/>
      </w:pPr>
      <w:r>
        <w:rPr>
          <w:rStyle w:val="CharStyle5"/>
          <w:b/>
          <w:bCs/>
        </w:rPr>
        <w:t>УПРАВЛЕНИЕ Федеральной антимонопольной службы по Челябинской области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rStyle w:val="CharStyle8"/>
        </w:rPr>
        <w:t xml:space="preserve">пр. Ленина, 59, г.Челябинск, 454091 тел. (351) 263-88-71, факс (351) 263-18-39 </w:t>
      </w:r>
      <w:r>
        <w:rPr>
          <w:rStyle w:val="CharStyle9"/>
        </w:rPr>
        <w:t xml:space="preserve">e-mail: </w:t>
      </w:r>
      <w:r>
        <w:fldChar w:fldCharType="begin"/>
      </w:r>
      <w:r>
        <w:rPr>
          <w:rStyle w:val="CharStyle9"/>
        </w:rPr>
        <w:instrText> HYPERLINK "mailto:to74@fas.gov.ru" </w:instrText>
      </w:r>
      <w:r>
        <w:fldChar w:fldCharType="separate"/>
      </w:r>
      <w:r>
        <w:rPr>
          <w:rStyle w:val="Hyperlink"/>
        </w:rPr>
        <w:t>to74@fas.gov.ru</w:t>
      </w:r>
      <w:r>
        <w:fldChar w:fldCharType="end"/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"Джули"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/>
        <w:ind w:left="2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620063, г. Екатеринбург, улица Чапаева, строение 14, корпус 3, часть помещения 19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0"/>
        <w:sectPr>
          <w:type w:val="continuous"/>
          <w:pgSz w:w="11906" w:h="16838"/>
          <w:pgMar w:top="161" w:left="1133" w:right="955" w:bottom="617" w:header="0" w:footer="3" w:gutter="0"/>
          <w:rtlGutter w:val="0"/>
          <w:cols w:num="2" w:space="720" w:equalWidth="0">
            <w:col w:w="3547" w:space="1469"/>
            <w:col w:w="4800"/>
          </w:cols>
          <w:noEndnote/>
          <w:docGrid w:linePitch="360"/>
        </w:sectPr>
      </w:pPr>
      <w:r>
        <w:fldChar w:fldCharType="begin"/>
      </w:r>
      <w:r>
        <w:rPr>
          <w:color w:val="000000"/>
        </w:rPr>
        <w:instrText> HYPERLINK "mailto:July096@yandex.ru"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July096@yandex.ru</w:t>
      </w:r>
      <w:r>
        <w:fldChar w:fldCharType="end"/>
      </w:r>
    </w:p>
    <w:p>
      <w:pPr>
        <w:widowControl w:val="0"/>
        <w:spacing w:before="88" w:after="88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2"/>
        <w:tabs>
          <w:tab w:leader="none" w:pos="1819" w:val="right"/>
          <w:tab w:leader="none" w:pos="2333" w:val="right"/>
          <w:tab w:leader="none" w:pos="3456" w:val="right"/>
        </w:tabs>
        <w:widowControl w:val="0"/>
        <w:keepNext/>
        <w:keepLines/>
        <w:shd w:val="clear" w:color="auto" w:fill="auto"/>
        <w:bidi w:val="0"/>
        <w:spacing w:before="0" w:after="0" w:line="240" w:lineRule="exact"/>
        <w:ind w:left="0" w:right="0" w:firstLine="0"/>
        <w:sectPr>
          <w:type w:val="continuous"/>
          <w:pgSz w:w="11906" w:h="16838"/>
          <w:pgMar w:top="161" w:left="1272" w:right="6888" w:bottom="617" w:header="0" w:footer="3" w:gutter="0"/>
          <w:rtlGutter w:val="0"/>
          <w:cols w:space="720"/>
          <w:noEndnote/>
          <w:docGrid w:linePitch="360"/>
        </w:sectPr>
      </w:pPr>
      <w:r>
        <w:fldChar w:fldCharType="begin"/>
      </w:r>
      <w:r>
        <w:rPr>
          <w:color w:val="000000"/>
        </w:rPr>
        <w:instrText> HYPERLINK "file://f207ca94-a13c-4ba0-b72d-f018c9eed8f1/" </w:instrText>
      </w:r>
      <w:r>
        <w:fldChar w:fldCharType="separate"/>
      </w:r>
      <w:bookmarkStart w:id="0" w:name="bookmark0"/>
      <w:r>
        <w:rPr>
          <w:rStyle w:val="Hyperlink"/>
          <w:lang w:val="ru-RU" w:eastAsia="ru-RU" w:bidi="ru-RU"/>
          <w:sz w:val="24"/>
          <w:szCs w:val="24"/>
          <w:w w:val="100"/>
          <w:spacing w:val="0"/>
          <w:position w:val="0"/>
        </w:rPr>
        <w:t>16.02.2021</w:t>
      </w:r>
      <w:r>
        <w:fldChar w:fldCharType="end"/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ab/>
        <w:t>№</w:t>
        <w:tab/>
        <w:t>В</w:t>
        <w:tab/>
        <w:t>Л/1815/21</w:t>
      </w:r>
      <w:bookmarkEnd w:id="0"/>
    </w:p>
    <w:p>
      <w:pPr>
        <w:widowControl w:val="0"/>
        <w:spacing w:before="38" w:after="38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4"/>
        <w:framePr w:h="130" w:wrap="around" w:vAnchor="text" w:hAnchor="margin" w:x="1886" w:y="31"/>
        <w:widowControl w:val="0"/>
        <w:keepNext w:val="0"/>
        <w:keepLines w:val="0"/>
        <w:shd w:val="clear" w:color="auto" w:fill="auto"/>
        <w:bidi w:val="0"/>
        <w:jc w:val="left"/>
        <w:spacing w:before="0" w:after="0" w:line="130" w:lineRule="exact"/>
        <w:ind w:left="100" w:right="0" w:firstLine="0"/>
      </w:pPr>
      <w:r>
        <w:rPr>
          <w:rStyle w:val="CharStyle16"/>
          <w:spacing w:val="0"/>
        </w:rPr>
        <w:t>ОТ</w:t>
      </w:r>
    </w:p>
    <w:p>
      <w:pPr>
        <w:pStyle w:val="Style17"/>
        <w:framePr w:h="341" w:wrap="around" w:vAnchor="text" w:hAnchor="margin" w:x="3681" w:y="697"/>
        <w:widowControl w:val="0"/>
        <w:keepNext w:val="0"/>
        <w:keepLines w:val="0"/>
        <w:shd w:val="clear" w:color="auto" w:fill="auto"/>
        <w:bidi w:val="0"/>
        <w:jc w:val="left"/>
        <w:spacing w:before="0" w:after="0" w:line="340" w:lineRule="exact"/>
        <w:ind w:left="100" w:right="0" w:firstLine="0"/>
      </w:pPr>
      <w:r>
        <w:rPr>
          <w:rStyle w:val="CharStyle19"/>
        </w:rPr>
        <w:t>И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608" w:line="170" w:lineRule="exact"/>
        <w:ind w:left="60" w:right="0" w:firstLine="0"/>
      </w:pPr>
      <w:r>
        <w:rPr>
          <w:rStyle w:val="CharStyle8"/>
        </w:rPr>
        <w:t>На №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left"/>
        <w:spacing w:before="0" w:after="8" w:line="220" w:lineRule="exact"/>
        <w:ind w:left="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60" w:right="0" w:firstLine="0"/>
        <w:sectPr>
          <w:type w:val="continuous"/>
          <w:pgSz w:w="11906" w:h="16838"/>
          <w:pgMar w:top="161" w:left="884" w:right="8372" w:bottom="617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по делу № 153-ж/2021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3" w:after="3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22"/>
        <w:framePr w:h="241" w:wrap="around" w:vAnchor="text" w:hAnchor="margin" w:x="25" w:y="-5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0" w:right="0" w:firstLine="0"/>
      </w:pPr>
      <w:r>
        <w:rPr>
          <w:rStyle w:val="CharStyle23"/>
          <w:b/>
          <w:bCs/>
          <w:spacing w:val="0"/>
        </w:rPr>
        <w:t>15 января 2021 года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spacing w:before="0" w:after="552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г. Челябинск, пр. Ленина, 59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560"/>
        <w:sectPr>
          <w:type w:val="continuous"/>
          <w:pgSz w:w="11906" w:h="16838"/>
          <w:pgMar w:top="161" w:left="845" w:right="864" w:bottom="617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по контролю в сфере закупок для государственных и мун</w:t>
      </w:r>
      <w:r>
        <w:rPr>
          <w:rStyle w:val="CharStyle27"/>
        </w:rPr>
        <w:t>ици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пальных нужд Управления Федеральной антимонопольной службы по Челябинской области (далее - Комиссия) в составе:</w:t>
      </w:r>
    </w:p>
    <w:p>
      <w:pPr>
        <w:pStyle w:val="Style25"/>
        <w:framePr w:w="1837" w:h="223" w:wrap="none" w:vAnchor="text" w:hAnchor="margin" w:x="2467" w:y="3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00" w:right="0" w:firstLine="0"/>
      </w:pPr>
      <w:r>
        <w:rPr>
          <w:rStyle w:val="CharStyle28"/>
          <w:spacing w:val="0"/>
        </w:rPr>
        <w:t>Ливончик В.А.</w:t>
      </w:r>
    </w:p>
    <w:p>
      <w:pPr>
        <w:pStyle w:val="Style25"/>
        <w:framePr w:w="1702" w:h="521" w:wrap="none" w:vAnchor="text" w:hAnchor="margin" w:x="57" w:y="3"/>
        <w:widowControl w:val="0"/>
        <w:keepNext w:val="0"/>
        <w:keepLines w:val="0"/>
        <w:shd w:val="clear" w:color="auto" w:fill="auto"/>
        <w:bidi w:val="0"/>
        <w:jc w:val="left"/>
        <w:spacing w:before="0" w:after="3" w:line="230" w:lineRule="exact"/>
        <w:ind w:left="100" w:right="0" w:firstLine="0"/>
      </w:pPr>
      <w:r>
        <w:rPr>
          <w:rStyle w:val="CharStyle28"/>
          <w:spacing w:val="0"/>
        </w:rPr>
        <w:t>Председателя</w:t>
      </w:r>
    </w:p>
    <w:p>
      <w:pPr>
        <w:pStyle w:val="Style25"/>
        <w:framePr w:w="1702" w:h="521" w:wrap="none" w:vAnchor="text" w:hAnchor="margin" w:x="57" w:y="3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00" w:right="0" w:firstLine="0"/>
      </w:pPr>
      <w:r>
        <w:rPr>
          <w:rStyle w:val="CharStyle28"/>
          <w:spacing w:val="0"/>
        </w:rPr>
        <w:t>Комиссии:</w:t>
      </w:r>
    </w:p>
    <w:p>
      <w:pPr>
        <w:pStyle w:val="Style25"/>
        <w:framePr w:w="4491" w:h="1437" w:wrap="none" w:vAnchor="text" w:hAnchor="margin" w:x="52" w:y="1190"/>
        <w:tabs>
          <w:tab w:leader="none" w:pos="3522" w:val="right"/>
          <w:tab w:leader="none" w:pos="4079" w:val="right"/>
        </w:tabs>
        <w:widowControl w:val="0"/>
        <w:keepNext w:val="0"/>
        <w:keepLines w:val="0"/>
        <w:shd w:val="clear" w:color="auto" w:fill="auto"/>
        <w:bidi w:val="0"/>
        <w:spacing w:before="0" w:after="908" w:line="230" w:lineRule="exact"/>
        <w:ind w:left="100" w:right="0" w:firstLine="0"/>
      </w:pPr>
      <w:r>
        <w:rPr>
          <w:rStyle w:val="CharStyle28"/>
          <w:spacing w:val="0"/>
        </w:rPr>
        <w:t>Членов Комиссии:</w:t>
        <w:tab/>
        <w:t>Гареевой</w:t>
        <w:tab/>
        <w:t>Д.Ф.</w:t>
      </w:r>
    </w:p>
    <w:p>
      <w:pPr>
        <w:pStyle w:val="Style25"/>
        <w:framePr w:w="4491" w:h="1437" w:wrap="none" w:vAnchor="text" w:hAnchor="margin" w:x="52" w:y="1190"/>
        <w:widowControl w:val="0"/>
        <w:keepNext w:val="0"/>
        <w:keepLines w:val="0"/>
        <w:shd w:val="clear" w:color="auto" w:fill="auto"/>
        <w:bidi w:val="0"/>
        <w:jc w:val="right"/>
        <w:spacing w:before="0" w:after="0" w:line="230" w:lineRule="exact"/>
        <w:ind w:left="0" w:right="100" w:firstLine="0"/>
      </w:pPr>
      <w:r>
        <w:rPr>
          <w:rStyle w:val="CharStyle28"/>
          <w:spacing w:val="0"/>
        </w:rPr>
        <w:t>Воронковой Д.А.</w:t>
      </w:r>
    </w:p>
    <w:p>
      <w:pPr>
        <w:pStyle w:val="Style25"/>
        <w:numPr>
          <w:ilvl w:val="0"/>
          <w:numId w:val="1"/>
        </w:numPr>
        <w:framePr w:w="5101" w:h="3525" w:wrap="none" w:vAnchor="text" w:hAnchor="margin" w:x="5006" w:y="3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300" w:right="100"/>
      </w:pPr>
      <w:r>
        <w:rPr>
          <w:rStyle w:val="CharStyle28"/>
          <w:spacing w:val="0"/>
        </w:rPr>
        <w:t xml:space="preserve"> заместителя руководителя управления - начальника отдела контроля закупок для государственных и муниципальных нужд Челябинского УФАС России;</w:t>
      </w:r>
    </w:p>
    <w:p>
      <w:pPr>
        <w:pStyle w:val="Style25"/>
        <w:numPr>
          <w:ilvl w:val="0"/>
          <w:numId w:val="1"/>
        </w:numPr>
        <w:framePr w:w="5101" w:h="3525" w:wrap="none" w:vAnchor="text" w:hAnchor="margin" w:x="5006" w:y="3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300" w:right="100"/>
      </w:pPr>
      <w:r>
        <w:rPr>
          <w:rStyle w:val="CharStyle28"/>
          <w:spacing w:val="0"/>
        </w:rPr>
        <w:t xml:space="preserve"> ведущего специалиста-эксперта отдела контроля закупок для государственных и муниципальных нужд Челябинского УФАС России;</w:t>
      </w:r>
    </w:p>
    <w:p>
      <w:pPr>
        <w:pStyle w:val="Style25"/>
        <w:numPr>
          <w:ilvl w:val="0"/>
          <w:numId w:val="1"/>
        </w:numPr>
        <w:framePr w:w="5101" w:h="3525" w:wrap="none" w:vAnchor="text" w:hAnchor="margin" w:x="5006" w:y="3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300" w:right="100"/>
      </w:pPr>
      <w:r>
        <w:rPr>
          <w:rStyle w:val="CharStyle28"/>
          <w:spacing w:val="0"/>
        </w:rPr>
        <w:t xml:space="preserve"> ведущего специалиста-эксперта отдела контроля закупок для государственных и муниципальных нужд Челябинского УФАС России,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621" w:lineRule="exact"/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141" w:left="826" w:right="826" w:bottom="141" w:header="0" w:footer="3" w:gutter="0"/>
          <w:rtlGutter w:val="0"/>
          <w:cols w:space="720"/>
          <w:noEndnote/>
          <w:docGrid w:linePitch="360"/>
        </w:sectPr>
      </w:pPr>
    </w:p>
    <w:p>
      <w:pPr>
        <w:pStyle w:val="Style29"/>
        <w:framePr w:w="1349" w:h="475" w:wrap="around" w:vAnchor="text" w:hAnchor="margin" w:x="351" w:y="2593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  <w:r>
        <w:rPr>
          <w:w w:val="100"/>
          <w:spacing w:val="0"/>
          <w:color w:val="000000"/>
          <w:position w:val="0"/>
        </w:rPr>
        <w:t>000136869969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spacing w:before="0" w:after="421" w:line="298" w:lineRule="exact"/>
        <w:ind w:left="20" w:right="20" w:firstLine="0"/>
        <w:sectPr>
          <w:type w:val="continuous"/>
          <w:pgSz w:w="11906" w:h="16838"/>
          <w:pgMar w:top="161" w:left="840" w:right="850" w:bottom="617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рассмотрев жалобу ООО «ДЖУЛИ» на действия Управления строительством и жил</w:t>
      </w:r>
      <w:r>
        <w:rPr>
          <w:rStyle w:val="CharStyle27"/>
        </w:rPr>
        <w:t>ищн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 - коммунальным хозяйством Кусинского муниципального района при проведении элек</w:t>
        <w:softHyphen/>
        <w:t>тронного аукциона № 0169600001921000016 на выполнение работ по газоснабжению жи</w:t>
        <w:softHyphen/>
        <w:t>лых домов по ул. Чкалова, Труда, Пионерская, Каменка, Южная, Октября, Первомайская в п.Ковали; ул. Чернышевского, Герцена, Красная Горка, Цвилинга, Глинки, Кирова, Комсо</w:t>
        <w:softHyphen/>
        <w:t>мольская, Горького, Шевченко, Ширяева, Матросова в п.г.т Магнитка» Кусинского района Челябинской области (далее - аукцион),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center"/>
        <w:spacing w:before="0" w:after="256" w:line="240" w:lineRule="exact"/>
        <w:ind w:left="0" w:right="0" w:firstLine="0"/>
      </w:pPr>
      <w:r>
        <w:rPr>
          <w:rStyle w:val="CharStyle31"/>
          <w:b/>
          <w:bCs/>
        </w:rPr>
        <w:t>УСТАНОВИЛА: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20" w:right="20" w:firstLine="8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части 1 статьи 105 Федерального закона от 05.04.2013 № 44-ФЗ «О контрактной системе в сфере закупок товаров, работ, услуг для обеспечения государствен</w:t>
        <w:softHyphen/>
        <w:t>ных и мун</w:t>
      </w:r>
      <w:r>
        <w:rPr>
          <w:rStyle w:val="CharStyle27"/>
        </w:rPr>
        <w:t>ици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пальных нужд» (далее - Закон о контрактной системе) любой участник закуп</w:t>
        <w:softHyphen/>
        <w:t>ки в соответствии с законодательством Российской Федерации имеет право обжаловать в судебном порядке или в порядке, установленном настоящей главой, в контрольный орган в сфере закупок действия (бездействие) заказчика, уполномоченного органа, уполномоченно</w:t>
        <w:softHyphen/>
        <w:t xml:space="preserve">го учреждения, специализированной организации, комиссии по осуществлению закупок, ее членов, должностных лиц контрактной службы, контрактного управляющего, оператора электронной площадки, оператора специализированной электронной площадки, </w:t>
      </w:r>
      <w:r>
        <w:rPr>
          <w:rStyle w:val="CharStyle27"/>
        </w:rPr>
        <w:t>если такие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rStyle w:val="CharStyle27"/>
        </w:rPr>
        <w:t>действия (бездействие) нарушают права и законные интересы участника закупки.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20" w:right="20" w:firstLine="8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Таким образом, Закон о контрактной системе предоставляет участникам закупки право на обжалование действий (бездействия) заказчика при условии, если такие действия (бездействия) нарушают права и законные интересы участника закупки на момент подачи жалобы.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20" w:right="20" w:firstLine="8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Как следует из доводов жалобы заявителем обжалуется аукцион, предметом которо</w:t>
        <w:softHyphen/>
        <w:t>го является выполнение работ по газоснабжению жилых домов по ул. Чкалова, Труда, Пио</w:t>
        <w:softHyphen/>
        <w:t>нерская, Каменка, Южная, Октября, Первомайская в п.Ковали; ул. Чернышевского, Герце</w:t>
        <w:softHyphen/>
        <w:t>на, Красная Горка, Цвилинга, Глинки, Кирова, Комсомольская, Горького, Шевченко, Ширя</w:t>
        <w:softHyphen/>
        <w:t>ева, Матросова в п.г.т Магнитка» Кусинского района Челябинской области (извещение №0169600001921000016), при этом начальная (максимальная) цена контракта составляет 15 121 967,00 рублей.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20" w:right="20" w:firstLine="8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 учетом частей 2, 2.1 статьи 52 Градостроительного кодекса РФ (далее - ГрК РФ), извещения об осуществлении закупки, документации о закупке, а также с учетом предмета закупки и начальной (максимальной) цены контракта обязательным требованием к участ</w:t>
        <w:softHyphen/>
        <w:t xml:space="preserve">нику закупки является </w:t>
      </w:r>
      <w:r>
        <w:rPr>
          <w:rStyle w:val="CharStyle27"/>
        </w:rPr>
        <w:t>наличие выписки из реестра членов саморегулируемой организации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rStyle w:val="CharStyle27"/>
        </w:rPr>
        <w:t>в области строительства, реконструкции, капитального ремонта, сноса объектов капиталь</w:t>
        <w:softHyphen/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</w:r>
      <w:r>
        <w:rPr>
          <w:rStyle w:val="CharStyle27"/>
        </w:rPr>
        <w:t>ного строительства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.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20" w:right="20" w:firstLine="8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Из части 1 статьи 55.20 ГрК РФ национальные объединения саморегулируемых ор</w:t>
        <w:softHyphen/>
        <w:t>ганизаций являются общероссийскими негосударственными некоммерческими организаци</w:t>
        <w:softHyphen/>
        <w:t>ями, объединяю</w:t>
      </w:r>
      <w:r>
        <w:rPr>
          <w:rStyle w:val="CharStyle27"/>
        </w:rPr>
        <w:t>щи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ми саморегулируемые организации на основе обязательного членства, и создаются в форме ассоциации (союза).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20" w:right="20" w:firstLine="8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силу пункта 8 части 8 статьи 55.20 ГрК РФ основной функцией национального объединения саморегулируемых организаций является ведение единого реестра членов саморегулируемых организаций, форма которого утверждается органом надзора за саморе- гулируемыми организациями по согласованию с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строительства, архитектуры, градострои</w:t>
        <w:softHyphen/>
        <w:t>тельства, и предоставление по запросам заинтересованных лиц сведений из указанного реестра.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20" w:right="20" w:firstLine="8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Таким образом, сведения о хозяйствующем субъекте, являющемся членом саморе- гулируемой организации в области строительства, реконструкции, капитального ремонта, сноса объектов капитального строительства, должны содержаться в едином реестре членов саморегулируемых организаций с учетом части 1, пункта 8 части 8 статьи 55.20 ГрК РФ.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20" w:right="20" w:firstLine="8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сведениям, размещенным в едином реестре членов саморегулируемых ор</w:t>
        <w:softHyphen/>
        <w:t xml:space="preserve">ганизаций на сайте Ассоциации «Национальное объединение строителей» (НОСТРОЙ) </w:t>
      </w:r>
      <w:r>
        <w:fldChar w:fldCharType="begin"/>
      </w:r>
      <w:r>
        <w:rPr>
          <w:rStyle w:val="CharStyle32"/>
        </w:rPr>
        <w:instrText> HYPERLINK "http://reestr.nostroy.ru/" </w:instrText>
      </w:r>
      <w:r>
        <w:fldChar w:fldCharType="separate"/>
      </w:r>
      <w:r>
        <w:rPr>
          <w:rStyle w:val="Hyperlink"/>
        </w:rPr>
        <w:t>http://reestr.nostroy.ru/</w:t>
      </w:r>
      <w:r>
        <w:fldChar w:fldCharType="end"/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,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сведения о членстве ООО «ДЖУЛИ» в саморегулируемой организа</w:t>
        <w:softHyphen/>
        <w:t>ции в области строительства, реконструкции, капитального ремонта, сноса объектов капи</w:t>
        <w:softHyphen/>
        <w:t>тального строительства отсутствуют.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spacing w:before="0" w:after="240" w:line="298" w:lineRule="exact"/>
        <w:ind w:left="0" w:right="20" w:firstLine="8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Указанные обстоятельства свидетельствуют об отсутствии у заявителя специальной правоспособности, которая позволила бы ему принять участие в закупке и претендовать на заключение контракта, что свидетельствует об отсутствии у заявителя материально-право</w:t>
        <w:softHyphen/>
        <w:t>вой заинтересованности участия в закупки, в связи с чем права и законные интересы участ</w:t>
        <w:softHyphen/>
        <w:t>ника закупки не могут быть нарушены, что является основанием для возврата жалоба на основании пункта 1 части 11 статьи 105 Закона о контрактной системе.</w:t>
      </w:r>
    </w:p>
    <w:p>
      <w:pPr>
        <w:pStyle w:val="Style33"/>
        <w:widowControl w:val="0"/>
        <w:keepNext w:val="0"/>
        <w:keepLines w:val="0"/>
        <w:shd w:val="clear" w:color="auto" w:fill="auto"/>
        <w:bidi w:val="0"/>
        <w:spacing w:before="0" w:after="286"/>
        <w:ind w:left="0" w:right="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Исходя из изложенного, Комиссия, руководствуясь пунктом 1 части 11 статьи 105 Закона о контрактной системе,</w:t>
      </w:r>
    </w:p>
    <w:p>
      <w:pPr>
        <w:pStyle w:val="Style35"/>
        <w:widowControl w:val="0"/>
        <w:keepNext/>
        <w:keepLines/>
        <w:shd w:val="clear" w:color="auto" w:fill="auto"/>
        <w:bidi w:val="0"/>
        <w:jc w:val="left"/>
        <w:spacing w:before="0" w:after="256" w:line="240" w:lineRule="exact"/>
        <w:ind w:left="4640" w:right="0" w:firstLine="0"/>
      </w:pPr>
      <w:bookmarkStart w:id="1" w:name="bookmark1"/>
      <w:r>
        <w:rPr>
          <w:rStyle w:val="CharStyle37"/>
          <w:b/>
          <w:bCs/>
        </w:rPr>
        <w:t>РЕШИЛА:</w:t>
      </w:r>
      <w:bookmarkEnd w:id="1"/>
    </w:p>
    <w:p>
      <w:pPr>
        <w:pStyle w:val="Style25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Возвратить жалобу ООО «ДЖУЛИ» на действия Управления строительством и жилищно-коммунальным хозяйством Кусинского муниципального района и при проведении электронного аукциона № 0169600001921000016 на выполнение работ по газоснабжению жилых домов по ул. Чкалова, Труда, Пионерская, Каменка, Южная, Октября, Первомайская в п.Ковали; ул. Чернышевского, Герцена, Красная Горка, Цвилинга, Глинки, Кирова, Комсомольская, Горького, Шевченко, Ширяева, Матросова в п.г.т Магнитка» Кусинского района Челябинской области.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spacing w:before="0" w:after="586" w:line="298" w:lineRule="exact"/>
        <w:ind w:left="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частью 14 статьи 105 Закона о контрактной системе решение о возврате жалобы может быть обжаловано в судебном порядке.</w:t>
      </w:r>
    </w:p>
    <w:p>
      <w:pPr>
        <w:pStyle w:val="Style25"/>
        <w:tabs>
          <w:tab w:leader="none" w:pos="7325" w:val="right"/>
          <w:tab w:leader="none" w:pos="7325" w:val="right"/>
        </w:tabs>
        <w:widowControl w:val="0"/>
        <w:keepNext w:val="0"/>
        <w:keepLines w:val="0"/>
        <w:shd w:val="clear" w:color="auto" w:fill="auto"/>
        <w:bidi w:val="0"/>
        <w:spacing w:before="0" w:after="662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Председатель Комиссии</w:t>
        <w:tab/>
        <w:t>В.А.</w:t>
        <w:tab/>
        <w:t>Ливончик</w:t>
      </w:r>
    </w:p>
    <w:p>
      <w:pPr>
        <w:pStyle w:val="Style25"/>
        <w:tabs>
          <w:tab w:leader="none" w:pos="6149" w:val="right"/>
          <w:tab w:leader="none" w:pos="7099" w:val="right"/>
        </w:tabs>
        <w:widowControl w:val="0"/>
        <w:keepNext w:val="0"/>
        <w:keepLines w:val="0"/>
        <w:shd w:val="clear" w:color="auto" w:fill="auto"/>
        <w:bidi w:val="0"/>
        <w:spacing w:before="0" w:after="662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Члены Комиссии</w:t>
        <w:tab/>
        <w:t>Д.Ф.</w:t>
        <w:tab/>
        <w:t>Гареева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5720" w:right="0" w:firstLine="0"/>
        <w:sectPr>
          <w:pgSz w:w="11906" w:h="16838"/>
          <w:pgMar w:top="959" w:left="848" w:right="843" w:bottom="1861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Д.А. Воронкова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left"/>
        <w:spacing w:before="0" w:after="0" w:line="245" w:lineRule="exact"/>
        <w:ind w:left="0" w:right="3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Исп.Воронкова Д.А. тел.8(351) 265-93-78</w:t>
      </w:r>
    </w:p>
    <w:sectPr>
      <w:type w:val="continuous"/>
      <w:pgSz w:w="11906" w:h="16838"/>
      <w:pgMar w:top="1309" w:left="862" w:right="8830" w:bottom="13981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3"/>
        <w:szCs w:val="23"/>
        <w:rFonts w:ascii="Times New Roman" w:eastAsia="Times New Roman" w:hAnsi="Times New Roman" w:cs="Times New Roman"/>
        <w:w w:val="100"/>
        <w:spacing w:val="-1"/>
        <w:color w:val="000000"/>
        <w:position w:val="0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5">
    <w:name w:val="Основной текст (2)"/>
    <w:basedOn w:val="CharStyle4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7">
    <w:name w:val="Основной текст (3)_"/>
    <w:basedOn w:val="DefaultParagraphFont"/>
    <w:link w:val="Style6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character" w:customStyle="1" w:styleId="CharStyle8">
    <w:name w:val="Основной текст (3)"/>
    <w:basedOn w:val="CharStyle7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9">
    <w:name w:val="Основной текст (3)"/>
    <w:basedOn w:val="CharStyle7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11">
    <w:name w:val="Основной текст (4)_"/>
    <w:basedOn w:val="DefaultParagraphFont"/>
    <w:link w:val="Style10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3">
    <w:name w:val="Заголовок №1_"/>
    <w:basedOn w:val="DefaultParagraphFont"/>
    <w:link w:val="Style12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5">
    <w:name w:val="Основной текст (6) Exact"/>
    <w:basedOn w:val="DefaultParagraphFont"/>
    <w:link w:val="Style14"/>
    <w:rPr>
      <w:b w:val="0"/>
      <w:bCs w:val="0"/>
      <w:i w:val="0"/>
      <w:iCs w:val="0"/>
      <w:u w:val="none"/>
      <w:strike w:val="0"/>
      <w:smallCaps w:val="0"/>
      <w:sz w:val="13"/>
      <w:szCs w:val="13"/>
      <w:rFonts w:ascii="Times New Roman" w:eastAsia="Times New Roman" w:hAnsi="Times New Roman" w:cs="Times New Roman"/>
      <w:spacing w:val="-4"/>
    </w:rPr>
  </w:style>
  <w:style w:type="character" w:customStyle="1" w:styleId="CharStyle16">
    <w:name w:val="Основной текст (6) Exact"/>
    <w:basedOn w:val="CharStyle15"/>
    <w:rPr>
      <w:lang w:val="ru-RU" w:eastAsia="ru-RU" w:bidi="ru-RU"/>
      <w:w w:val="100"/>
      <w:color w:val="000000"/>
      <w:position w:val="0"/>
    </w:rPr>
  </w:style>
  <w:style w:type="character" w:customStyle="1" w:styleId="CharStyle18">
    <w:name w:val="Основной текст (7) Exact"/>
    <w:basedOn w:val="DefaultParagraphFont"/>
    <w:link w:val="Style17"/>
    <w:rPr>
      <w:b w:val="0"/>
      <w:bCs w:val="0"/>
      <w:i w:val="0"/>
      <w:iCs w:val="0"/>
      <w:u w:val="none"/>
      <w:strike w:val="0"/>
      <w:smallCaps w:val="0"/>
      <w:sz w:val="34"/>
      <w:szCs w:val="34"/>
      <w:rFonts w:ascii="Times New Roman" w:eastAsia="Times New Roman" w:hAnsi="Times New Roman" w:cs="Times New Roman"/>
    </w:rPr>
  </w:style>
  <w:style w:type="character" w:customStyle="1" w:styleId="CharStyle19">
    <w:name w:val="Основной текст (7) Exact"/>
    <w:basedOn w:val="CharStyle18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1">
    <w:name w:val="Основной текст (5)_"/>
    <w:basedOn w:val="DefaultParagraphFont"/>
    <w:link w:val="Style20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23">
    <w:name w:val="Основной текст (8) Exact"/>
    <w:basedOn w:val="DefaultParagraphFont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2"/>
    </w:rPr>
  </w:style>
  <w:style w:type="character" w:customStyle="1" w:styleId="CharStyle24">
    <w:name w:val="Основной текст (8)_"/>
    <w:basedOn w:val="DefaultParagraphFont"/>
    <w:link w:val="Style22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26">
    <w:name w:val="Основной текст_"/>
    <w:basedOn w:val="DefaultParagraphFont"/>
    <w:link w:val="Style25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27">
    <w:name w:val="Основной текст"/>
    <w:basedOn w:val="CharStyle26"/>
    <w:rPr>
      <w:lang w:val="ru-RU" w:eastAsia="ru-RU" w:bidi="ru-RU"/>
      <w:u w:val="single"/>
      <w:sz w:val="24"/>
      <w:szCs w:val="24"/>
      <w:w w:val="100"/>
      <w:spacing w:val="0"/>
      <w:color w:val="000000"/>
      <w:position w:val="0"/>
    </w:rPr>
  </w:style>
  <w:style w:type="character" w:customStyle="1" w:styleId="CharStyle28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-1"/>
    </w:rPr>
  </w:style>
  <w:style w:type="character" w:customStyle="1" w:styleId="CharStyle30">
    <w:name w:val="Штрих-код (2)_"/>
    <w:basedOn w:val="DefaultParagraphFont"/>
    <w:link w:val="Style29"/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31">
    <w:name w:val="Основной текст (8) + Интервал 3 pt"/>
    <w:basedOn w:val="CharStyle24"/>
    <w:rPr>
      <w:lang w:val="ru-RU" w:eastAsia="ru-RU" w:bidi="ru-RU"/>
      <w:sz w:val="24"/>
      <w:szCs w:val="24"/>
      <w:w w:val="100"/>
      <w:spacing w:val="60"/>
      <w:color w:val="000000"/>
      <w:position w:val="0"/>
    </w:rPr>
  </w:style>
  <w:style w:type="character" w:customStyle="1" w:styleId="CharStyle32">
    <w:name w:val="Основной текст"/>
    <w:basedOn w:val="CharStyle26"/>
    <w:rPr>
      <w:lang w:val="en-US" w:eastAsia="en-US" w:bidi="en-US"/>
      <w:u w:val="single"/>
      <w:sz w:val="24"/>
      <w:szCs w:val="24"/>
      <w:w w:val="100"/>
      <w:spacing w:val="0"/>
      <w:color w:val="000000"/>
      <w:position w:val="0"/>
    </w:rPr>
  </w:style>
  <w:style w:type="character" w:customStyle="1" w:styleId="CharStyle34">
    <w:name w:val="Основной текст (9)_"/>
    <w:basedOn w:val="DefaultParagraphFont"/>
    <w:link w:val="Style33"/>
    <w:rPr>
      <w:b w:val="0"/>
      <w:bCs w:val="0"/>
      <w:i/>
      <w:iCs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36">
    <w:name w:val="Заголовок №2_"/>
    <w:basedOn w:val="DefaultParagraphFont"/>
    <w:link w:val="Style35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37">
    <w:name w:val="Заголовок №2 + Интервал 3 pt"/>
    <w:basedOn w:val="CharStyle36"/>
    <w:rPr>
      <w:lang w:val="ru-RU" w:eastAsia="ru-RU" w:bidi="ru-RU"/>
      <w:sz w:val="24"/>
      <w:szCs w:val="24"/>
      <w:w w:val="100"/>
      <w:spacing w:val="6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after="120" w:line="235" w:lineRule="exact"/>
    </w:pPr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6">
    <w:name w:val="Основной текст (3)"/>
    <w:basedOn w:val="Normal"/>
    <w:link w:val="CharStyle7"/>
    <w:pPr>
      <w:widowControl w:val="0"/>
      <w:shd w:val="clear" w:color="auto" w:fill="FFFFFF"/>
      <w:jc w:val="center"/>
      <w:spacing w:before="120" w:line="245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10">
    <w:name w:val="Основной текст (4)"/>
    <w:basedOn w:val="Normal"/>
    <w:link w:val="CharStyle11"/>
    <w:pPr>
      <w:widowControl w:val="0"/>
      <w:shd w:val="clear" w:color="auto" w:fill="FFFFFF"/>
      <w:jc w:val="both"/>
      <w:spacing w:line="322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2">
    <w:name w:val="Заголовок №1"/>
    <w:basedOn w:val="Normal"/>
    <w:link w:val="CharStyle13"/>
    <w:pPr>
      <w:widowControl w:val="0"/>
      <w:shd w:val="clear" w:color="auto" w:fill="FFFFFF"/>
      <w:jc w:val="both"/>
      <w:outlineLvl w:val="0"/>
      <w:spacing w:line="0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4">
    <w:name w:val="Основной текст (6)"/>
    <w:basedOn w:val="Normal"/>
    <w:link w:val="CharStyle15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13"/>
      <w:szCs w:val="13"/>
      <w:rFonts w:ascii="Times New Roman" w:eastAsia="Times New Roman" w:hAnsi="Times New Roman" w:cs="Times New Roman"/>
      <w:spacing w:val="-4"/>
    </w:rPr>
  </w:style>
  <w:style w:type="paragraph" w:customStyle="1" w:styleId="Style17">
    <w:name w:val="Основной текст (7)"/>
    <w:basedOn w:val="Normal"/>
    <w:link w:val="CharStyle18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34"/>
      <w:szCs w:val="34"/>
      <w:rFonts w:ascii="Times New Roman" w:eastAsia="Times New Roman" w:hAnsi="Times New Roman" w:cs="Times New Roman"/>
    </w:rPr>
  </w:style>
  <w:style w:type="paragraph" w:customStyle="1" w:styleId="Style20">
    <w:name w:val="Основной текст (5)"/>
    <w:basedOn w:val="Normal"/>
    <w:link w:val="CharStyle21"/>
    <w:pPr>
      <w:widowControl w:val="0"/>
      <w:shd w:val="clear" w:color="auto" w:fill="FFFFFF"/>
      <w:spacing w:before="660" w:after="60" w:line="0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22">
    <w:name w:val="Основной текст (8)"/>
    <w:basedOn w:val="Normal"/>
    <w:link w:val="CharStyle24"/>
    <w:pPr>
      <w:widowControl w:val="0"/>
      <w:shd w:val="clear" w:color="auto" w:fill="FFFFFF"/>
      <w:jc w:val="right"/>
      <w:spacing w:after="660" w:line="0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25">
    <w:name w:val="Основной текст"/>
    <w:basedOn w:val="Normal"/>
    <w:link w:val="CharStyle26"/>
    <w:pPr>
      <w:widowControl w:val="0"/>
      <w:shd w:val="clear" w:color="auto" w:fill="FFFFFF"/>
      <w:jc w:val="both"/>
      <w:spacing w:before="660" w:line="302" w:lineRule="exact"/>
      <w:ind w:hanging="200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29">
    <w:name w:val="Штрих-код (2)"/>
    <w:basedOn w:val="Normal"/>
    <w:link w:val="CharStyle30"/>
    <w:pPr>
      <w:widowControl w:val="0"/>
      <w:shd w:val="clear" w:color="auto" w:fill="FFFFFF"/>
    </w:pPr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33">
    <w:name w:val="Основной текст (9)"/>
    <w:basedOn w:val="Normal"/>
    <w:link w:val="CharStyle34"/>
    <w:pPr>
      <w:widowControl w:val="0"/>
      <w:shd w:val="clear" w:color="auto" w:fill="FFFFFF"/>
      <w:jc w:val="both"/>
      <w:spacing w:before="240" w:after="240" w:line="298" w:lineRule="exact"/>
      <w:ind w:firstLine="700"/>
    </w:pPr>
    <w:rPr>
      <w:b w:val="0"/>
      <w:bCs w:val="0"/>
      <w:i/>
      <w:iCs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35">
    <w:name w:val="Заголовок №2"/>
    <w:basedOn w:val="Normal"/>
    <w:link w:val="CharStyle36"/>
    <w:pPr>
      <w:widowControl w:val="0"/>
      <w:shd w:val="clear" w:color="auto" w:fill="FFFFFF"/>
      <w:outlineLvl w:val="1"/>
      <w:spacing w:before="240" w:after="360" w:line="0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