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ГУП «Московский метрополитен»</w:t>
      </w:r>
    </w:p>
    <w:p>
      <w:pPr>
        <w:pStyle w:val="Style3"/>
        <w:widowControl w:val="0"/>
        <w:keepNext w:val="0"/>
        <w:keepLines w:val="0"/>
        <w:shd w:val="clear" w:color="auto" w:fill="auto"/>
        <w:bidi w:val="0"/>
        <w:jc w:val="left"/>
        <w:spacing w:before="0" w:after="349" w:line="322" w:lineRule="exact"/>
        <w:ind w:left="5320" w:right="700" w:firstLine="0"/>
      </w:pPr>
      <w:r>
        <w:rPr>
          <w:lang w:val="ru-RU" w:eastAsia="ru-RU" w:bidi="ru-RU"/>
          <w:w w:val="100"/>
          <w:spacing w:val="0"/>
          <w:color w:val="000000"/>
          <w:position w:val="0"/>
        </w:rPr>
        <w:t>пр-кт Мира, д. 41, стр. 2, г. Москва, 129110</w:t>
      </w:r>
    </w:p>
    <w:p>
      <w:pPr>
        <w:pStyle w:val="Style3"/>
        <w:widowControl w:val="0"/>
        <w:keepNext w:val="0"/>
        <w:keepLines w:val="0"/>
        <w:shd w:val="clear" w:color="auto" w:fill="auto"/>
        <w:bidi w:val="0"/>
        <w:jc w:val="left"/>
        <w:spacing w:before="0" w:after="313" w:line="260" w:lineRule="exact"/>
        <w:ind w:left="5320" w:right="0" w:firstLine="0"/>
      </w:pPr>
      <w:r>
        <w:rPr>
          <w:lang w:val="ru-RU" w:eastAsia="ru-RU" w:bidi="ru-RU"/>
          <w:w w:val="100"/>
          <w:spacing w:val="0"/>
          <w:color w:val="000000"/>
          <w:position w:val="0"/>
        </w:rPr>
        <w:t>ГКУ «ДТЗ»</w:t>
      </w:r>
    </w:p>
    <w:p>
      <w:pPr>
        <w:pStyle w:val="Style3"/>
        <w:widowControl w:val="0"/>
        <w:keepNext w:val="0"/>
        <w:keepLines w:val="0"/>
        <w:shd w:val="clear" w:color="auto" w:fill="auto"/>
        <w:bidi w:val="0"/>
        <w:jc w:val="left"/>
        <w:spacing w:before="0" w:after="349" w:line="322" w:lineRule="exact"/>
        <w:ind w:left="5320" w:right="340" w:firstLine="0"/>
      </w:pPr>
      <w:r>
        <w:rPr>
          <w:lang w:val="ru-RU" w:eastAsia="ru-RU" w:bidi="ru-RU"/>
          <w:w w:val="100"/>
          <w:spacing w:val="0"/>
          <w:color w:val="000000"/>
          <w:position w:val="0"/>
        </w:rPr>
        <w:t>ул. Щепкина, д. 51/4, стр. 2, г. Москва, 129110</w:t>
      </w:r>
    </w:p>
    <w:p>
      <w:pPr>
        <w:pStyle w:val="Style3"/>
        <w:widowControl w:val="0"/>
        <w:keepNext w:val="0"/>
        <w:keepLines w:val="0"/>
        <w:shd w:val="clear" w:color="auto" w:fill="auto"/>
        <w:bidi w:val="0"/>
        <w:jc w:val="left"/>
        <w:spacing w:before="0" w:after="312" w:line="260" w:lineRule="exact"/>
        <w:ind w:left="5320" w:right="0" w:firstLine="0"/>
      </w:pPr>
      <w:r>
        <w:rPr>
          <w:lang w:val="ru-RU" w:eastAsia="ru-RU" w:bidi="ru-RU"/>
          <w:w w:val="100"/>
          <w:spacing w:val="0"/>
          <w:color w:val="000000"/>
          <w:position w:val="0"/>
        </w:rPr>
        <w:t>ООО «МАРСОФ»</w:t>
      </w:r>
    </w:p>
    <w:p>
      <w:pPr>
        <w:pStyle w:val="Style3"/>
        <w:widowControl w:val="0"/>
        <w:keepNext w:val="0"/>
        <w:keepLines w:val="0"/>
        <w:shd w:val="clear" w:color="auto" w:fill="auto"/>
        <w:bidi w:val="0"/>
        <w:jc w:val="left"/>
        <w:spacing w:before="0" w:after="836" w:line="317" w:lineRule="exact"/>
        <w:ind w:left="5320" w:right="340" w:firstLine="0"/>
      </w:pPr>
      <w:r>
        <w:rPr>
          <w:lang w:val="ru-RU" w:eastAsia="ru-RU" w:bidi="ru-RU"/>
          <w:w w:val="100"/>
          <w:spacing w:val="0"/>
          <w:color w:val="000000"/>
          <w:position w:val="0"/>
        </w:rPr>
        <w:t>Береговая ул., д. 12, пос. Сосново, Ленинградская обл., 188736</w:t>
      </w:r>
    </w:p>
    <w:p>
      <w:pPr>
        <w:pStyle w:val="Style5"/>
        <w:tabs>
          <w:tab w:leader="none" w:pos="12486" w:val="right"/>
        </w:tabs>
        <w:widowControl w:val="0"/>
        <w:keepNext w:val="0"/>
        <w:keepLines w:val="0"/>
        <w:shd w:val="clear" w:color="auto" w:fill="auto"/>
        <w:bidi w:val="0"/>
        <w:jc w:val="left"/>
        <w:spacing w:before="0" w:after="0"/>
        <w:ind w:left="2320" w:right="2320" w:firstLine="2040"/>
      </w:pPr>
      <w:r>
        <w:rPr>
          <w:lang w:val="ru-RU" w:eastAsia="ru-RU" w:bidi="ru-RU"/>
          <w:w w:val="100"/>
          <w:spacing w:val="0"/>
          <w:color w:val="000000"/>
          <w:position w:val="0"/>
        </w:rPr>
        <w:t>РЕШЕНИЕ по делу №077/06/106-2193/2021 о нарушении законодательства о контрактной системе</w:t>
      </w:r>
    </w:p>
    <w:p>
      <w:pPr>
        <w:pStyle w:val="Style5"/>
        <w:numPr>
          <w:ilvl w:val="0"/>
          <w:numId w:val="1"/>
        </w:numPr>
        <w:tabs>
          <w:tab w:leader="none" w:pos="10166" w:val="right"/>
          <w:tab w:leader="none" w:pos="9211" w:val="left"/>
        </w:tabs>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Москва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3"/>
        <w:widowControl w:val="0"/>
        <w:keepNext w:val="0"/>
        <w:keepLines w:val="0"/>
        <w:shd w:val="clear" w:color="auto" w:fill="auto"/>
        <w:bidi w:val="0"/>
        <w:jc w:val="both"/>
        <w:spacing w:before="0" w:after="0" w:line="307"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07" w:lineRule="exact"/>
        <w:ind w:left="20" w:right="0" w:firstLine="700"/>
      </w:pPr>
      <w:r>
        <w:rPr>
          <w:lang w:val="ru-RU" w:eastAsia="ru-RU" w:bidi="ru-RU"/>
          <w:w w:val="100"/>
          <w:spacing w:val="0"/>
          <w:color w:val="000000"/>
          <w:position w:val="0"/>
        </w:rPr>
        <w:t>Членов Комиссии: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Специалиста первого разряда отдела обжалования государственных закупок А.З. Касимовой,</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Специалиста первого разряда отдела обжалования государственных закупок А.А. Матюшенко,</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3"/>
        <w:tabs>
          <w:tab w:leader="none" w:pos="5846" w:val="right"/>
          <w:tab w:leader="none" w:pos="6288" w:val="left"/>
        </w:tabs>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при участии представителей:</w:t>
        <w:tab/>
        <w:t>ГУП</w:t>
        <w:tab/>
        <w:t>«Московский метрополитен»,</w:t>
      </w:r>
    </w:p>
    <w:p>
      <w:pPr>
        <w:pStyle w:val="Style3"/>
        <w:widowControl w:val="0"/>
        <w:keepNext w:val="0"/>
        <w:keepLines w:val="0"/>
        <w:shd w:val="clear" w:color="auto" w:fill="auto"/>
        <w:bidi w:val="0"/>
        <w:jc w:val="both"/>
        <w:spacing w:before="0" w:after="0" w:line="302" w:lineRule="exact"/>
        <w:ind w:left="20" w:right="0" w:firstLine="0"/>
      </w:pPr>
      <w:r>
        <w:rPr>
          <w:lang w:val="ru-RU" w:eastAsia="ru-RU" w:bidi="ru-RU"/>
          <w:w w:val="100"/>
          <w:spacing w:val="0"/>
          <w:color w:val="000000"/>
          <w:position w:val="0"/>
        </w:rPr>
        <w:t>ООО «МАРСОФ»,</w:t>
      </w:r>
    </w:p>
    <w:p>
      <w:pPr>
        <w:pStyle w:val="Style3"/>
        <w:widowControl w:val="0"/>
        <w:keepNext w:val="0"/>
        <w:keepLines w:val="0"/>
        <w:shd w:val="clear" w:color="auto" w:fill="auto"/>
        <w:bidi w:val="0"/>
        <w:jc w:val="both"/>
        <w:spacing w:before="0" w:after="361" w:line="298" w:lineRule="exact"/>
        <w:ind w:left="20" w:right="20" w:firstLine="700"/>
      </w:pPr>
      <w:r>
        <w:rPr>
          <w:lang w:val="ru-RU" w:eastAsia="ru-RU" w:bidi="ru-RU"/>
          <w:w w:val="100"/>
          <w:spacing w:val="0"/>
          <w:color w:val="000000"/>
          <w:position w:val="0"/>
        </w:rPr>
        <w:t>рассмотрев жалобу ООО «МАРСОФ» (далее — Заявитель) на действия ГУП «Московский метрополитен» (далее — Заказчик) при проведении электронного аукциона на право заключения государственного контракта на выполнение кадастровых работ по земельным участкам, занимаемым объектами метрополитена (Закупка № 0373200082120001431) (далее - электронный аукцион, аукцион)</w:t>
      </w:r>
    </w:p>
    <w:p>
      <w:pPr>
        <w:pStyle w:val="Style7"/>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001902696002</w:t>
      </w:r>
    </w:p>
    <w:p>
      <w:pPr>
        <w:pStyle w:val="Style3"/>
        <w:widowControl w:val="0"/>
        <w:keepNext w:val="0"/>
        <w:keepLines w:val="0"/>
        <w:shd w:val="clear" w:color="auto" w:fill="auto"/>
        <w:bidi w:val="0"/>
        <w:jc w:val="both"/>
        <w:spacing w:before="0" w:after="330" w:line="298" w:lineRule="exact"/>
        <w:ind w:left="20" w:right="20" w:firstLine="0"/>
      </w:pPr>
      <w:r>
        <w:rPr>
          <w:lang w:val="ru-RU" w:eastAsia="ru-RU" w:bidi="ru-RU"/>
          <w:w w:val="100"/>
          <w:spacing w:val="0"/>
          <w:color w:val="000000"/>
          <w:position w:val="0"/>
        </w:rPr>
        <w:t>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9"/>
        <w:widowControl w:val="0"/>
        <w:keepNext/>
        <w:keepLines/>
        <w:shd w:val="clear" w:color="auto" w:fill="auto"/>
        <w:bidi w:val="0"/>
        <w:jc w:val="left"/>
        <w:spacing w:before="0" w:after="331" w:line="260" w:lineRule="exact"/>
        <w:ind w:left="4400" w:right="0" w:firstLine="0"/>
      </w:pPr>
      <w:bookmarkStart w:id="0" w:name="bookmark0"/>
      <w:r>
        <w:rPr>
          <w:lang w:val="ru-RU" w:eastAsia="ru-RU" w:bidi="ru-RU"/>
          <w:w w:val="100"/>
          <w:spacing w:val="0"/>
          <w:color w:val="000000"/>
          <w:position w:val="0"/>
        </w:rPr>
        <w:t>УСТАНОВИЛА:</w:t>
      </w:r>
      <w:bookmarkEnd w:id="0"/>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Заказчиком представлены документы и сведения, запрашиваемые письмом Московского УФАС России от 08.02.2021 №ЕИ/6809/21.</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Комиссией Управления установлено следующее.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Согласно доводам жалобы Заявителя Заказчиком неправомерно размещен протокол признания участника уклонившимся от заключения контракта от</w:t>
      </w:r>
    </w:p>
    <w:p>
      <w:pPr>
        <w:pStyle w:val="Style3"/>
        <w:numPr>
          <w:ilvl w:val="0"/>
          <w:numId w:val="3"/>
        </w:numPr>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 №ППУ1 и признания ООО «МАРСОФ» уклонившимся от заключения контракта на основании предоставления обеспечения исполнения контракта в форме банковской гарантии, не соответствующей требованиям аукционной документации и положениям действующего законодательства.</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3"/>
        <w:numPr>
          <w:ilvl w:val="0"/>
          <w:numId w:val="5"/>
        </w:numPr>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 xml:space="preserve"> №0373200082120001431-3 ООО «МАРСОФ» признано победителем электронного аукциона.</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части 12 статьи 54.7, части 8 статьи 69, части 8 статьи 82.4, части 23 статьи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Закона о контрактной системе,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Закона о контрактной системе, указанных в заявке, окончательном предложении участника электронной процедуры.</w:t>
      </w:r>
    </w:p>
    <w:p>
      <w:pPr>
        <w:pStyle w:val="Style3"/>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ст.83.2 Закона о контрактной системе.</w:t>
      </w:r>
    </w:p>
    <w:p>
      <w:pPr>
        <w:pStyle w:val="Style3"/>
        <w:tabs>
          <w:tab w:leader="none" w:pos="3077" w:val="left"/>
          <w:tab w:leader="none" w:pos="5740" w:val="right"/>
          <w:tab w:leader="none" w:pos="5886" w:val="left"/>
          <w:tab w:leader="none" w:pos="10201" w:val="right"/>
        </w:tabs>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w:t>
        <w:tab/>
        <w:t>участником</w:t>
        <w:tab/>
        <w:t>закупки,</w:t>
        <w:tab/>
        <w:t>с</w:t>
        <w:tab/>
        <w:t>которым заключается контракт,</w:t>
      </w:r>
    </w:p>
    <w:p>
      <w:pPr>
        <w:pStyle w:val="Style3"/>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обеспечения исполнения контракта в соответствии с Законом о контрактной системе.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3"/>
        <w:widowControl w:val="0"/>
        <w:keepNext w:val="0"/>
        <w:keepLines w:val="0"/>
        <w:shd w:val="clear" w:color="auto" w:fill="auto"/>
        <w:bidi w:val="0"/>
        <w:jc w:val="both"/>
        <w:spacing w:before="0" w:after="0" w:line="302"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3"/>
        <w:tabs>
          <w:tab w:leader="none" w:pos="3077" w:val="left"/>
          <w:tab w:leader="none" w:pos="5740" w:val="right"/>
          <w:tab w:leader="none" w:pos="5881" w:val="left"/>
          <w:tab w:leader="none" w:pos="10201" w:val="right"/>
        </w:tabs>
        <w:widowControl w:val="0"/>
        <w:keepNext w:val="0"/>
        <w:keepLines w:val="0"/>
        <w:shd w:val="clear" w:color="auto" w:fill="auto"/>
        <w:bidi w:val="0"/>
        <w:jc w:val="both"/>
        <w:spacing w:before="0" w:after="0" w:line="302" w:lineRule="exact"/>
        <w:ind w:left="20" w:right="0" w:firstLine="700"/>
      </w:pPr>
      <w:r>
        <w:rPr>
          <w:lang w:val="ru-RU" w:eastAsia="ru-RU" w:bidi="ru-RU"/>
          <w:w w:val="100"/>
          <w:spacing w:val="0"/>
          <w:color w:val="000000"/>
          <w:position w:val="0"/>
        </w:rPr>
        <w:t>В соответствии</w:t>
        <w:tab/>
        <w:t>с ч.5 ст.96</w:t>
        <w:tab/>
        <w:t>Закона</w:t>
        <w:tab/>
        <w:t>о</w:t>
        <w:tab/>
        <w:t>контактной системе в случае</w:t>
      </w:r>
    </w:p>
    <w:p>
      <w:pPr>
        <w:pStyle w:val="Style3"/>
        <w:widowControl w:val="0"/>
        <w:keepNext w:val="0"/>
        <w:keepLines w:val="0"/>
        <w:shd w:val="clear" w:color="auto" w:fill="auto"/>
        <w:bidi w:val="0"/>
        <w:jc w:val="both"/>
        <w:spacing w:before="0" w:after="0" w:line="302" w:lineRule="exact"/>
        <w:ind w:left="20" w:right="20" w:firstLine="0"/>
      </w:pPr>
      <w:r>
        <w:rPr>
          <w:lang w:val="ru-RU" w:eastAsia="ru-RU" w:bidi="ru-RU"/>
          <w:w w:val="100"/>
          <w:spacing w:val="0"/>
          <w:color w:val="000000"/>
          <w:position w:val="0"/>
        </w:rPr>
        <w:t>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3"/>
        <w:widowControl w:val="0"/>
        <w:keepNext w:val="0"/>
        <w:keepLines w:val="0"/>
        <w:shd w:val="clear" w:color="auto" w:fill="auto"/>
        <w:bidi w:val="0"/>
        <w:jc w:val="both"/>
        <w:spacing w:before="0" w:after="0" w:line="293" w:lineRule="exact"/>
        <w:ind w:left="20" w:right="20" w:firstLine="700"/>
      </w:pPr>
      <w:r>
        <w:rPr>
          <w:lang w:val="ru-RU" w:eastAsia="ru-RU" w:bidi="ru-RU"/>
          <w:w w:val="100"/>
          <w:spacing w:val="0"/>
          <w:color w:val="000000"/>
          <w:position w:val="0"/>
        </w:rPr>
        <w:t>Комиссией Управления установлено, что победителем аукциона направлен подписанный проект контракта и обеспечение исполнения контракта в виде банковской гарантии от 21.01.2021 №1856525, выданной ПАО «Совкомбанк.</w:t>
      </w:r>
    </w:p>
    <w:p>
      <w:pPr>
        <w:pStyle w:val="Style3"/>
        <w:tabs>
          <w:tab w:leader="none" w:pos="2918" w:val="left"/>
        </w:tabs>
        <w:widowControl w:val="0"/>
        <w:keepNext w:val="0"/>
        <w:keepLines w:val="0"/>
        <w:shd w:val="clear" w:color="auto" w:fill="auto"/>
        <w:bidi w:val="0"/>
        <w:jc w:val="both"/>
        <w:spacing w:before="0" w:after="0" w:line="298" w:lineRule="exact"/>
        <w:ind w:left="20" w:right="0" w:firstLine="700"/>
      </w:pPr>
      <w:r>
        <w:rPr>
          <w:lang w:val="ru-RU" w:eastAsia="ru-RU" w:bidi="ru-RU"/>
          <w:w w:val="100"/>
          <w:spacing w:val="0"/>
          <w:color w:val="000000"/>
          <w:position w:val="0"/>
        </w:rPr>
        <w:t>Согласно ч.8.2</w:t>
        <w:tab/>
        <w:t>ст.45 Закона о контрактной системе дополнительные</w:t>
      </w:r>
    </w:p>
    <w:p>
      <w:pPr>
        <w:pStyle w:val="Style3"/>
        <w:tabs>
          <w:tab w:leader="none" w:pos="3077" w:val="left"/>
          <w:tab w:leader="none" w:pos="10201" w:val="right"/>
        </w:tabs>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w:t>
        <w:tab/>
        <w:t>порядок формирования</w:t>
        <w:tab/>
        <w:t>и ведения закрытого реестра</w:t>
      </w:r>
    </w:p>
    <w:p>
      <w:pPr>
        <w:pStyle w:val="Style3"/>
        <w:tabs>
          <w:tab w:leader="none" w:pos="3077" w:val="left"/>
          <w:tab w:leader="none" w:pos="5740" w:val="right"/>
          <w:tab w:leader="none" w:pos="5886" w:val="left"/>
        </w:tabs>
        <w:widowControl w:val="0"/>
        <w:keepNext w:val="0"/>
        <w:keepLines w:val="0"/>
        <w:shd w:val="clear" w:color="auto" w:fill="auto"/>
        <w:bidi w:val="0"/>
        <w:jc w:val="both"/>
        <w:spacing w:before="0" w:after="0" w:line="298" w:lineRule="exact"/>
        <w:ind w:left="20" w:right="20" w:firstLine="0"/>
      </w:pPr>
      <w:r>
        <w:rPr>
          <w:lang w:val="ru-RU" w:eastAsia="ru-RU" w:bidi="ru-RU"/>
          <w:w w:val="100"/>
          <w:spacing w:val="0"/>
          <w:color w:val="000000"/>
          <w:position w:val="0"/>
        </w:rPr>
        <w:t>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w:t>
        <w:tab/>
        <w:t>банковской</w:t>
        <w:tab/>
        <w:t>гарантии</w:t>
        <w:tab/>
        <w:t>устанавливаются Правительством</w:t>
      </w:r>
    </w:p>
    <w:p>
      <w:pPr>
        <w:pStyle w:val="Style3"/>
        <w:widowControl w:val="0"/>
        <w:keepNext w:val="0"/>
        <w:keepLines w:val="0"/>
        <w:shd w:val="clear" w:color="auto" w:fill="auto"/>
        <w:bidi w:val="0"/>
        <w:jc w:val="both"/>
        <w:spacing w:before="0" w:after="0" w:line="298" w:lineRule="exact"/>
        <w:ind w:left="20" w:right="0" w:firstLine="0"/>
      </w:pPr>
      <w:r>
        <w:rPr>
          <w:lang w:val="ru-RU" w:eastAsia="ru-RU" w:bidi="ru-RU"/>
          <w:w w:val="100"/>
          <w:spacing w:val="0"/>
          <w:color w:val="000000"/>
          <w:position w:val="0"/>
        </w:rPr>
        <w:t>Российской Федерации.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Банковской гарантии содержатся условия, которые противоречат положениям Закона о контрактной системе, поскольку условия представленной банковской гарантии предполагают получение гарантом требования платежа по гарантии до истечения срока действия такой гарантии.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w w:val="100"/>
          <w:spacing w:val="0"/>
          <w:color w:val="000000"/>
          <w:position w:val="0"/>
        </w:rPr>
        <w:t>На заседании Комиссии Управления установлено, что в Банковской гарантии предусмотрено следующее: п.6 «Требование платежа по Гарантии должно быть получено ГАРАНТОМ до истечения срока действия Гарантии».</w:t>
      </w:r>
    </w:p>
    <w:p>
      <w:pPr>
        <w:pStyle w:val="Style3"/>
        <w:widowControl w:val="0"/>
        <w:keepNext w:val="0"/>
        <w:keepLines w:val="0"/>
        <w:shd w:val="clear" w:color="auto" w:fill="auto"/>
        <w:bidi w:val="0"/>
        <w:jc w:val="both"/>
        <w:spacing w:before="0" w:after="0" w:line="293" w:lineRule="exact"/>
        <w:ind w:left="0" w:right="20" w:firstLine="700"/>
      </w:pPr>
      <w:r>
        <w:rPr>
          <w:lang w:val="ru-RU" w:eastAsia="ru-RU" w:bidi="ru-RU"/>
          <w:w w:val="100"/>
          <w:spacing w:val="0"/>
          <w:color w:val="000000"/>
          <w:position w:val="0"/>
        </w:rPr>
        <w:t>Вместе с тем, согласно п.2 ст. 374 Гражданского Кодекса Российской Федерации, требование бенефициара должно быть представлено гаранту до окончания срока действия независимой гарантии.</w:t>
      </w:r>
    </w:p>
    <w:p>
      <w:pPr>
        <w:pStyle w:val="Style3"/>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Таким образом, исходя из положений п.2 ст.374 Гражданского Кодекса Российской Федерации, требование бенефициара должно быть предъявлено гаранту до окончания срока действия гарантии, что не может в ряде случаев считаться действием, совпадающим по времени совершения с моментом получения гарантом такого требования.</w:t>
      </w:r>
    </w:p>
    <w:p>
      <w:pPr>
        <w:pStyle w:val="Style3"/>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Кроме того, в силу п.2 ст.194 Гражданского Кодекса Российской Федерации письменные заявления и извещения, сданные в организацию связи до двадцати четырех часов последнего дня срока, считаются сделанными в срок.</w:t>
      </w:r>
    </w:p>
    <w:p>
      <w:pPr>
        <w:pStyle w:val="Style3"/>
        <w:widowControl w:val="0"/>
        <w:keepNext w:val="0"/>
        <w:keepLines w:val="0"/>
        <w:shd w:val="clear" w:color="auto" w:fill="auto"/>
        <w:bidi w:val="0"/>
        <w:jc w:val="both"/>
        <w:spacing w:before="0" w:after="0" w:line="302" w:lineRule="exact"/>
        <w:ind w:left="0" w:right="20" w:firstLine="700"/>
      </w:pPr>
      <w:r>
        <w:rPr>
          <w:lang w:val="ru-RU" w:eastAsia="ru-RU" w:bidi="ru-RU"/>
          <w:w w:val="100"/>
          <w:spacing w:val="0"/>
          <w:color w:val="000000"/>
          <w:position w:val="0"/>
        </w:rPr>
        <w:t>Исходя из совокупности применения п.2 ст.194 и п.2 ст.374 Гражданского Кодекса Российской Федерации отправленные Бенефициаром требования по банковской гарантии посредством организации связи в срок действия гарантии должны быть приняты и рассмотрены Гарантом, даже если получены им за пределами срока действия гарантии.</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При этом установление в банковской гарантии положения, что требование платежа по гарантии должно быть получено Гарантом до истечения срока действия банковской гарантии, ведет к сокращению времени на подготовку Заказчиком такого требования и направления его банку-гаранту, поскольку в данном случае также необходимо учитывать сроки на получение такого требования банком.</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На заседании Комиссии Управления представитель Заявителя пояснил, что ООО «МАРСОФ» было внесено новое обеспечение исполнения контракта, однако Заказчиком не представлена возможность замены несоответствующей банковской гарантии на новое обеспечение исполнения контракта, что, по мнению Заявителя, является нарушением порядка заключения государственного контракта, предусмотренного Законом о контрактной системе, и ограничением прав Заявителя.</w:t>
      </w:r>
    </w:p>
    <w:p>
      <w:pPr>
        <w:pStyle w:val="Style3"/>
        <w:widowControl w:val="0"/>
        <w:keepNext w:val="0"/>
        <w:keepLines w:val="0"/>
        <w:shd w:val="clear" w:color="auto" w:fill="auto"/>
        <w:bidi w:val="0"/>
        <w:jc w:val="both"/>
        <w:spacing w:before="0" w:after="0" w:line="298" w:lineRule="exact"/>
        <w:ind w:left="0" w:right="20" w:firstLine="700"/>
      </w:pPr>
      <w:r>
        <w:rPr>
          <w:lang w:val="ru-RU" w:eastAsia="ru-RU" w:bidi="ru-RU"/>
          <w:w w:val="100"/>
          <w:spacing w:val="0"/>
          <w:color w:val="000000"/>
          <w:position w:val="0"/>
        </w:rPr>
        <w:t>Вместе с тем Комиссия Управления отмечает, что ч.3, ч.4 ст.83.2 Закона о контрактной системе однозначно указывают на тот факт, что подписание победителем аукциона проекта контракта является по своей сути акцептованием условий проекта контракта, направленного Заказчиком, при этом дальнейшие действия в части подписания контракта либо отказа от заключения контракта с победителем аукциона остаются в правовом поле Заказчика, в связи с чем дополнительно направленные в качестве обеспечения исполнения государственного контракта банковская гарантия и денежные средства за пределами срока подписания государственного контракта, установленного Законом о контрактной системе для победителя аукциона, не могут являться надлежащим обеспечением исполнения государственного контракта в силу положений ч.5 ст.96 Закона о контрактной системе.</w:t>
      </w:r>
    </w:p>
    <w:p>
      <w:pPr>
        <w:pStyle w:val="Style3"/>
        <w:widowControl w:val="0"/>
        <w:keepNext w:val="0"/>
        <w:keepLines w:val="0"/>
        <w:shd w:val="clear" w:color="auto" w:fill="auto"/>
        <w:bidi w:val="0"/>
        <w:jc w:val="right"/>
        <w:spacing w:before="0" w:after="0" w:line="298" w:lineRule="exact"/>
        <w:ind w:left="0" w:right="20" w:firstLine="0"/>
      </w:pPr>
      <w:r>
        <w:rPr>
          <w:lang w:val="ru-RU" w:eastAsia="ru-RU" w:bidi="ru-RU"/>
          <w:w w:val="100"/>
          <w:spacing w:val="0"/>
          <w:color w:val="000000"/>
          <w:position w:val="0"/>
        </w:rPr>
        <w:t>Одновременно с этим Комиссия Управления отмечает, что Законом о контрактной системе не предусмотрена обязанность Заказчика принимать</w:t>
      </w:r>
    </w:p>
    <w:p>
      <w:pPr>
        <w:pStyle w:val="Style3"/>
        <w:widowControl w:val="0"/>
        <w:keepNext w:val="0"/>
        <w:keepLines w:val="0"/>
        <w:shd w:val="clear" w:color="auto" w:fill="auto"/>
        <w:bidi w:val="0"/>
        <w:jc w:val="both"/>
        <w:spacing w:before="0" w:after="0" w:line="293" w:lineRule="exact"/>
        <w:ind w:left="0" w:right="20" w:firstLine="0"/>
      </w:pPr>
      <w:r>
        <w:rPr>
          <w:lang w:val="ru-RU" w:eastAsia="ru-RU" w:bidi="ru-RU"/>
          <w:w w:val="100"/>
          <w:spacing w:val="0"/>
          <w:color w:val="000000"/>
          <w:position w:val="0"/>
        </w:rPr>
        <w:t>какое-либо иное (новое) обеспечение после обнаружения несоответствий в первом. Данная позиция также отражена в решении Арбитражного суда города Москвы по делу № А40-308942/18-139-3047 от 25.03.2019.</w:t>
      </w:r>
    </w:p>
    <w:p>
      <w:pPr>
        <w:pStyle w:val="Style3"/>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Согласно п.2 ч.6 ст.45 Закона о контрактной системе основанием для отказа в принятии банковской гарантии заказчиком является несоответствие банковской гарантии условиям, указанным в частях 2 и 3 ст.45 Закона о контрактной системе.</w:t>
      </w:r>
    </w:p>
    <w:p>
      <w:pPr>
        <w:pStyle w:val="Style3"/>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Заказчиком решения об отказе от заключения контракта по основанию, указанному в протоколе, не противоречит положениям Закона о контрактной системе.</w:t>
      </w:r>
    </w:p>
    <w:p>
      <w:pPr>
        <w:pStyle w:val="Style3"/>
        <w:widowControl w:val="0"/>
        <w:keepNext w:val="0"/>
        <w:keepLines w:val="0"/>
        <w:shd w:val="clear" w:color="auto" w:fill="auto"/>
        <w:bidi w:val="0"/>
        <w:jc w:val="both"/>
        <w:spacing w:before="0" w:after="330" w:line="298" w:lineRule="exact"/>
        <w:ind w:left="0" w:right="20" w:firstLine="72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p>
    <w:p>
      <w:pPr>
        <w:pStyle w:val="Style9"/>
        <w:widowControl w:val="0"/>
        <w:keepNext/>
        <w:keepLines/>
        <w:shd w:val="clear" w:color="auto" w:fill="auto"/>
        <w:bidi w:val="0"/>
        <w:jc w:val="left"/>
        <w:spacing w:before="0" w:after="318" w:line="260" w:lineRule="exact"/>
        <w:ind w:left="4600" w:right="0" w:firstLine="0"/>
      </w:pPr>
      <w:bookmarkStart w:id="1" w:name="bookmark1"/>
      <w:r>
        <w:rPr>
          <w:lang w:val="ru-RU" w:eastAsia="ru-RU" w:bidi="ru-RU"/>
          <w:w w:val="100"/>
          <w:spacing w:val="0"/>
          <w:color w:val="000000"/>
          <w:position w:val="0"/>
        </w:rPr>
        <w:t>Р Е Ш И Л А:</w:t>
      </w:r>
      <w:bookmarkEnd w:id="1"/>
    </w:p>
    <w:p>
      <w:pPr>
        <w:pStyle w:val="Style3"/>
        <w:numPr>
          <w:ilvl w:val="0"/>
          <w:numId w:val="7"/>
        </w:numPr>
        <w:widowControl w:val="0"/>
        <w:keepNext w:val="0"/>
        <w:keepLines w:val="0"/>
        <w:shd w:val="clear" w:color="auto" w:fill="auto"/>
        <w:bidi w:val="0"/>
        <w:jc w:val="both"/>
        <w:spacing w:before="0" w:after="0" w:line="302" w:lineRule="exact"/>
        <w:ind w:left="0" w:right="20" w:firstLine="720"/>
      </w:pPr>
      <w:r>
        <w:rPr>
          <w:lang w:val="ru-RU" w:eastAsia="ru-RU" w:bidi="ru-RU"/>
          <w:w w:val="100"/>
          <w:spacing w:val="0"/>
          <w:color w:val="000000"/>
          <w:position w:val="0"/>
        </w:rPr>
        <w:t xml:space="preserve"> Признать жалобу ООО «МАРСОФ» на действия ГУП «Московский метрополитен» необоснованной.</w:t>
      </w:r>
    </w:p>
    <w:p>
      <w:pPr>
        <w:pStyle w:val="Style3"/>
        <w:numPr>
          <w:ilvl w:val="0"/>
          <w:numId w:val="7"/>
        </w:numPr>
        <w:widowControl w:val="0"/>
        <w:keepNext w:val="0"/>
        <w:keepLines w:val="0"/>
        <w:shd w:val="clear" w:color="auto" w:fill="auto"/>
        <w:bidi w:val="0"/>
        <w:jc w:val="both"/>
        <w:spacing w:before="0" w:after="0" w:line="298" w:lineRule="exact"/>
        <w:ind w:left="0" w:right="20" w:firstLine="72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w:t>
      </w:r>
    </w:p>
    <w:p>
      <w:pPr>
        <w:pStyle w:val="Style3"/>
        <w:numPr>
          <w:ilvl w:val="0"/>
          <w:numId w:val="9"/>
        </w:numPr>
        <w:tabs>
          <w:tab w:leader="none" w:pos="1445" w:val="left"/>
        </w:tabs>
        <w:widowControl w:val="0"/>
        <w:keepNext w:val="0"/>
        <w:keepLines w:val="0"/>
        <w:shd w:val="clear" w:color="auto" w:fill="auto"/>
        <w:bidi w:val="0"/>
        <w:jc w:val="both"/>
        <w:spacing w:before="0" w:after="300" w:line="298" w:lineRule="exact"/>
        <w:ind w:left="0" w:right="0" w:firstLine="0"/>
      </w:pPr>
      <w:r>
        <w:rPr>
          <w:lang w:val="ru-RU" w:eastAsia="ru-RU" w:bidi="ru-RU"/>
          <w:w w:val="100"/>
          <w:spacing w:val="0"/>
          <w:color w:val="000000"/>
          <w:position w:val="0"/>
        </w:rPr>
        <w:t>№ЕИ/6809/21.</w:t>
      </w:r>
    </w:p>
    <w:p>
      <w:pPr>
        <w:pStyle w:val="Style3"/>
        <w:widowControl w:val="0"/>
        <w:keepNext w:val="0"/>
        <w:keepLines w:val="0"/>
        <w:shd w:val="clear" w:color="auto" w:fill="auto"/>
        <w:bidi w:val="0"/>
        <w:jc w:val="both"/>
        <w:spacing w:before="0" w:after="28" w:line="298" w:lineRule="exact"/>
        <w:ind w:left="0" w:right="20" w:firstLine="72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3"/>
        <w:tabs>
          <w:tab w:leader="none" w:pos="9125" w:val="right"/>
          <w:tab w:leader="none" w:pos="1016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С.И.</w:t>
        <w:tab/>
        <w:t>Казарин</w:t>
      </w:r>
    </w:p>
    <w:p>
      <w:pPr>
        <w:pStyle w:val="Style3"/>
        <w:tabs>
          <w:tab w:leader="none" w:pos="8923" w:val="right"/>
          <w:tab w:leader="none" w:pos="10162"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3"/>
        <w:widowControl w:val="0"/>
        <w:keepNext w:val="0"/>
        <w:keepLines w:val="0"/>
        <w:shd w:val="clear" w:color="auto" w:fill="auto"/>
        <w:bidi w:val="0"/>
        <w:jc w:val="right"/>
        <w:spacing w:before="0" w:after="2767" w:line="638" w:lineRule="exact"/>
        <w:ind w:left="0" w:right="20" w:firstLine="0"/>
      </w:pPr>
      <w:r>
        <w:rPr>
          <w:lang w:val="ru-RU" w:eastAsia="ru-RU" w:bidi="ru-RU"/>
          <w:w w:val="100"/>
          <w:spacing w:val="0"/>
          <w:color w:val="000000"/>
          <w:position w:val="0"/>
        </w:rPr>
        <w:t>А.А. Матюшенко</w:t>
      </w:r>
    </w:p>
    <w:p>
      <w:pPr>
        <w:pStyle w:val="Style11"/>
        <w:widowControl w:val="0"/>
        <w:keepNext w:val="0"/>
        <w:keepLines w:val="0"/>
        <w:shd w:val="clear" w:color="auto" w:fill="auto"/>
        <w:bidi w:val="0"/>
        <w:spacing w:before="0" w:after="0" w:line="180" w:lineRule="exact"/>
        <w:ind w:left="0" w:right="0" w:firstLine="0"/>
      </w:pPr>
      <w:r>
        <w:rPr>
          <w:lang w:val="ru-RU" w:eastAsia="ru-RU" w:bidi="ru-RU"/>
          <w:w w:val="100"/>
          <w:spacing w:val="0"/>
          <w:color w:val="000000"/>
          <w:position w:val="0"/>
        </w:rPr>
        <w:t>Исп. Касимова А.З. 8 (495) 784-75-05 доб. (077-186)</w:t>
      </w:r>
    </w:p>
    <w:sectPr>
      <w:footnotePr>
        <w:pos w:val="pageBottom"/>
        <w:numFmt w:val="decimal"/>
        <w:numRestart w:val="continuous"/>
      </w:footnotePr>
      <w:type w:val="continuous"/>
      <w:pgSz w:w="11906" w:h="16838"/>
      <w:pgMar w:top="1199" w:left="849" w:right="837" w:bottom="1390"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11.02.%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3.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9.0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21"/>
      <w:numFmt w:val="decimal"/>
      <w:lvlText w:val="08.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Штрих-код (2)_"/>
    <w:basedOn w:val="DefaultParagraphFont"/>
    <w:link w:val="Style7"/>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before="8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Штрих-код (2)"/>
    <w:basedOn w:val="Normal"/>
    <w:link w:val="CharStyle8"/>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240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