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09" w:after="98"/>
        <w:ind w:left="2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0" w:firstLine="0"/>
      </w:pPr>
      <w:r>
        <w:rPr>
          <w:rStyle w:val="CharStyle5"/>
          <w:b/>
          <w:bCs/>
        </w:rPr>
        <w:t>УПРАВЛЕНИЕ по Республике Дагестан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8"/>
        </w:rPr>
        <w:t xml:space="preserve">367000, г. Махачкала, пл. Ленина, 2 тел.: (8722) 67-20-95, факс: (8722) 67-21-41 </w:t>
      </w:r>
      <w:r>
        <w:rPr>
          <w:rStyle w:val="CharStyle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8"/>
        </w:rPr>
        <w:instrText> HYPERLINK "mailto:to05@fas.gov.ru"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to05@fas.gov.ru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90" w:line="180" w:lineRule="exact"/>
        <w:ind w:left="140" w:right="0" w:firstLine="0"/>
      </w:pPr>
      <w:r>
        <w:rPr>
          <w:rStyle w:val="CharStyle11"/>
          <w:i/>
          <w:iCs/>
        </w:rPr>
        <w:t xml:space="preserve">4 </w:t>
      </w:r>
      <w:r>
        <w:rPr>
          <w:rStyle w:val="CharStyle11"/>
          <w:lang w:val="en-US" w:eastAsia="en-US" w:bidi="en-US"/>
          <w:i/>
          <w:iCs/>
        </w:rPr>
        <w:t xml:space="preserve">S'. </w:t>
      </w:r>
      <w:r>
        <w:rPr>
          <w:rStyle w:val="CharStyle11"/>
          <w:i/>
          <w:iCs/>
        </w:rPr>
        <w:t>03.</w:t>
      </w:r>
      <w:r>
        <w:rPr>
          <w:rStyle w:val="CharStyle12"/>
          <w:i w:val="0"/>
          <w:iCs w:val="0"/>
        </w:rPr>
        <w:t xml:space="preserve"> ■</w:t>
      </w:r>
    </w:p>
    <w:p>
      <w:pPr>
        <w:pStyle w:val="Style6"/>
        <w:tabs>
          <w:tab w:leader="none" w:pos="2275" w:val="right"/>
          <w:tab w:leader="none" w:pos="3538" w:val="left"/>
          <w:tab w:leader="underscore" w:pos="457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0" w:right="0" w:firstLine="0"/>
      </w:pPr>
      <w:r>
        <w:rPr>
          <w:rStyle w:val="CharStyle8"/>
          <w:lang w:val="en-US" w:eastAsia="en-US" w:bidi="en-US"/>
        </w:rPr>
        <w:t>Ha №</w:t>
        <w:tab/>
      </w:r>
      <w:r>
        <w:rPr>
          <w:rStyle w:val="CharStyle8"/>
        </w:rPr>
        <w:t>от</w:t>
        <w:tab/>
        <w:tab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ГОСУДАРСТВЕННОЕ БЮДЖЕТНОЕ УЧРЕЖДЕНИЕ РЕСПУБЛИКИ ДАГЕСТАН "ДЕТСКАЯ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РЕСПУБЛИКАНСКАЯ КЛИНИЧЕСКАЯ БОЛЬНИЦА ИМ.Н.М.КУРАЕВА"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44" w:line="322" w:lineRule="exact"/>
        <w:ind w:left="2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367027, Республика Дагестан, г. Махачкала, ул.Ахмеда Магомедова, д.2 «а» </w:t>
      </w:r>
      <w:r>
        <w:fldChar w:fldCharType="begin"/>
      </w:r>
      <w:r>
        <w:rPr>
          <w:color w:val="000000"/>
        </w:rPr>
        <w:instrText> HYPERLINK "mailto:drkb@mail.ru"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drkb@mail.ru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29" w:left="1179" w:right="1275" w:bottom="1098" w:header="0" w:footer="3" w:gutter="0"/>
          <w:rtlGutter w:val="0"/>
          <w:cols w:num="2" w:space="720" w:equalWidth="0">
            <w:col w:w="4584" w:space="720"/>
            <w:col w:w="4147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Комитет по государственным закупкам Республики Дагестан 367000, Дагестан Респ, Махачкала г, ул. Даниялова, 15 </w:t>
      </w:r>
      <w:r>
        <w:fldChar w:fldCharType="begin"/>
      </w:r>
      <w:r>
        <w:rPr>
          <w:color w:val="000000"/>
        </w:rPr>
        <w:instrText> HYPERLINK "mailto:lcgzinfo@mail.ru"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lcgzinfo@mail.ru</w:t>
      </w:r>
      <w:r>
        <w:fldChar w:fldCharType="end"/>
      </w:r>
    </w:p>
    <w:p>
      <w:pPr>
        <w:widowControl w:val="0"/>
        <w:spacing w:before="44" w:after="4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51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«Единая электронная торговая площадка»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96"/>
        <w:ind w:left="5160" w:right="7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115114, г. Москва, ул. Кожевническая, д. 14, стр. 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info@roseltorg.ru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04" w:line="322" w:lineRule="exact"/>
        <w:ind w:left="5160" w:right="7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«Профессионал плюс» 367014, РД, г. Махачкала, ул. Луначарского, д. 25 367000, РД, г. Махачкала, ул. Даниялова, д. 15 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346"/>
        <w:ind w:left="0" w:right="720" w:firstLine="0"/>
      </w:pPr>
      <w:r>
        <w:rPr>
          <w:rStyle w:val="CharStyle15"/>
        </w:rPr>
        <w:t>РЕШЕНИЕ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 005/06/106-169/2021 Комиссии Управления ФАС России по Республике Дагестан по контролю в сфере закупок</w:t>
      </w:r>
    </w:p>
    <w:p>
      <w:pPr>
        <w:pStyle w:val="Style13"/>
        <w:tabs>
          <w:tab w:leader="none" w:pos="778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12" w:line="260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15.02.2021г.</w:t>
        <w:tab/>
        <w:t>г. Махачкала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ФАС России по Республике Дагестан по контролю в сфере закупок (далее - Комиссия) в составе: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заседание Комиссии - Халилова Р.А. - Начальника отдела контроля закупок Дагестанского У ФАС России.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Агамирзаева В.А. - Зам. Начальника отдела контроля закупок Дагестанского У ФАС России;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Магомедова К.Г. - Главного специалиста-эксперта отдела контроля закупок Дагестанского УФАС России;</w:t>
      </w:r>
      <w:r>
        <w:br w:type="page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Магомедова А.Ш. - Ведущего специалиста-эксперта отдела контроля закупок Дагестанского У ФАС России,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«Профессионал плюс» (далее - Заявитель) на действия аукционной комиссии Комитета по государственным закупкам Республики Дагестан (далее - Уполномоченный орган) при проведении для нужд ГБУ РД "ДЕТСКАЯ РЕСПУБЛИКАНСКАЯ КЛИНИЧЕСКАЯ БОЛЬНИЦА ИМ.Н.М.КУРАЕВА" (далее - Заказчик) электронного аукциона «Поставка расходного материала»№ 0103200008421000003 (далее - Аукцион),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 представителей: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Заявителя - Шейхова А.А. (доверенность б/н, от 05.02.2021г.)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Уполномоченного органа - Булаевой Ф.А. (доверенность №1, от 18.01.2021г.)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Заказчика - Яниковой Р.Б. (доверенность №70, от 15.02.2021г.),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3780" w:right="0" w:firstLine="0"/>
      </w:pPr>
      <w:r>
        <w:rPr>
          <w:rStyle w:val="CharStyle15"/>
        </w:rPr>
        <w:t>УСТАНОВИЛА: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08.02.2021г. в Дагестанское УФАС России поступила жалоба Заявителя на действия аукционной комиссии Уполномоченного органа при проведении Аукциона.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жалобе Заявителя указывается на неправомерное признание заявки Заявителя несоответствующей требованиям Аукционной документации.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сторонами материалы, проведя анализ информации, содержащейся в единой информационной системе в сфере закупок (далее - Единая информационная система), а также на сайте оператора электронной площадки АО «Единая электронная торговая площадка» (далее - Оператор электронной площадки), выслушав представителей сторон, Комиссия установила следующее.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22.01.2021 Заказчиком в Единой информационной системе были размещены извещение и аукционная документация по проведению Аукциона.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- 3 009 209 рублей.</w:t>
      </w:r>
    </w:p>
    <w:p>
      <w:pPr>
        <w:pStyle w:val="Style13"/>
        <w:tabs>
          <w:tab w:leader="none" w:pos="940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рассмотрения заявок на участие в электронном аукционе от 22.02.2021 № 0103200008421000003-1 заявке Заявителя отказано в допуске к участию в аукционе со следующим основанием: «п. 2. ч. 4 ст. 67 - несоответствие информации, предусмотренной ч. 3 ст. 66</w:t>
        <w:tab/>
        <w:t>44-ФЗ,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требованиям документации о таком аукционе: Участник закупки с составе первой части заявки по п. 14 Винт кортикальный ООО «Остеосинтез» представил "Диаметр головки винта должен 8 мм", что не соответствует ТЗ п. 14 Диаметр головки винта должен быть от 7.9 до 8.1 мм,; п.23 Винт мини ООО «Остеосинтез» Диаметр винта должен 2.7 мм, а также п.24 Винт мини ООО «Остеосинтез» Диаметр винта должен 2.7мм, что также не соответствует п.23 и 24 ТЗ, а также согласно АД участник использовал слово "должен", что не позволяет однозначно установить наличие требуемого заказчиком параметра п.49 пп.2 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Кроме того п. 50 АД-Инструкции по заполнению заявки "Значение показателя без указанных выше символов, слов и союзов означает, что показателю будет соответствовать только указанное неизменное значение. В этом случае указывайте только конкретные показатели, не используйте такие слова, как "не более", "типа" и подобные, которые позволят растолковать характеристики товара как примерные или допускающие отклонения от необходимых значений».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3 ст. 66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первая часть заявки на участие в электронном аукционе должна содержать: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Аналогичные требования к составу первой части заявки указаны в п. 49 Информационной карты.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 14 «Винт кортикальный» установлены следующие требования, в том числе: « Диаметр головки винта должен быть от 7.9 до 8.1 мм».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 23 «Винт мини» установлены следующие требования, в том числе: «Диаметр винта должен быть от 2.6 до 2.8 мм».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 24 «Винт мини» установлены следующие требования, в том числе: «Диаметр винта должен быть от 2.6 до 2.8 мм».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заявке заявителя по вышеуказанным позициям указано следующее: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«п. 14 Винт кортикальный ООО «Остеосинтез» "Диаметр головки винта должен 8 мм",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6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п.23 Винт мини ООО «Остеосинтез» Диаметр винта должен 2.7 мм,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6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п.24 Винт мини ООО «Остеосинтез» Диаметр винта должен 2.7мм».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990" w:line="312" w:lineRule="exact"/>
        <w:ind w:left="6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Уполномоченного органа сообщил, что указанное участником в заявке словосочетание «должен» не позволяет однозначно установить наличие требуемого заказчиком параметра.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</w:t>
      </w:r>
      <w:r>
        <w:br w:type="page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согласно инструкции по заполнению заявки на участие в Аукционе «...Значение показателя без указанных выше символов, слов и союзов означает, что показателю будет соответствовать только указанное неизменное значение. В этом случае указывайте только конкретные показатели, не используйте такие слова, как "не более", "типа" и подобные, которые позволят растолковать характеристики товара как примерные или допускающие отклонения от необходимых значений».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приходит к выводу, что по вышеуказанным позициям в заявке участника закупки отсутствует конкретный показатель товара, соответствующий установленным в документации об Аукционе требованиям.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4 ст. 67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участник электронного аукциона не допускается к участию в нем в случае: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непредоставления информации, предусмотренной частью 3 статьи 66 настоящего Федерального закона, или предоставления недостоверной информации;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 Комиссия приходит к выводу о правомерности действий аукционной комиссии Уполномоченного, и необоснованности жалобы Заявителя.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ст. 106 Закона о контрактной системе, Комиссия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4240" w:right="0" w:firstLine="0"/>
      </w:pPr>
      <w:r>
        <w:rPr>
          <w:rStyle w:val="CharStyle15"/>
        </w:rPr>
        <w:t>РЕШИЛА: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320" w:line="260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Жалобу Заявителя признать необоснованной.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20" w:firstLine="700"/>
        <w:sectPr>
          <w:type w:val="continuous"/>
          <w:pgSz w:w="11906" w:h="16838"/>
          <w:pgMar w:top="636" w:left="1304" w:right="1136" w:bottom="97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before="74" w:after="7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framePr w:h="240" w:wrap="around" w:vAnchor="text" w:hAnchor="margin" w:x="6983" w:y="3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8"/>
          <w:spacing w:val="0"/>
        </w:rPr>
        <w:t>Р.А. Халилов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type w:val="continuous"/>
          <w:pgSz w:w="11906" w:h="16838"/>
          <w:pgMar w:top="432" w:left="1947" w:right="5955" w:bottom="166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Ведущий заседание Комиссии</w:t>
      </w:r>
    </w:p>
    <w:p>
      <w:pPr>
        <w:pStyle w:val="Style13"/>
        <w:framePr w:w="2322" w:h="240" w:wrap="none" w:vAnchor="text" w:hAnchor="margin" w:x="844" w:y="16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8"/>
          <w:spacing w:val="0"/>
        </w:rPr>
        <w:t>Члены Комиссии:</w:t>
      </w:r>
    </w:p>
    <w:p>
      <w:pPr>
        <w:pStyle w:val="Style13"/>
        <w:framePr w:w="2485" w:h="1805" w:wrap="none" w:vAnchor="text" w:hAnchor="margin" w:x="7171" w:y="3"/>
        <w:widowControl w:val="0"/>
        <w:keepNext w:val="0"/>
        <w:keepLines w:val="0"/>
        <w:shd w:val="clear" w:color="auto" w:fill="auto"/>
        <w:bidi w:val="0"/>
        <w:jc w:val="right"/>
        <w:spacing w:before="0" w:after="0" w:line="643" w:lineRule="exact"/>
        <w:ind w:left="100" w:right="120" w:firstLine="0"/>
      </w:pPr>
      <w:r>
        <w:rPr>
          <w:rStyle w:val="CharStyle18"/>
          <w:spacing w:val="0"/>
        </w:rPr>
        <w:t>В.А. Агамирзаев</w:t>
      </w:r>
    </w:p>
    <w:p>
      <w:pPr>
        <w:pStyle w:val="Style13"/>
        <w:framePr w:w="2485" w:h="1805" w:wrap="none" w:vAnchor="text" w:hAnchor="margin" w:x="7171" w:y="3"/>
        <w:widowControl w:val="0"/>
        <w:keepNext w:val="0"/>
        <w:keepLines w:val="0"/>
        <w:shd w:val="clear" w:color="auto" w:fill="auto"/>
        <w:bidi w:val="0"/>
        <w:jc w:val="right"/>
        <w:spacing w:before="0" w:after="0" w:line="643" w:lineRule="exact"/>
        <w:ind w:left="100" w:right="120" w:firstLine="0"/>
      </w:pPr>
      <w:r>
        <w:rPr>
          <w:rStyle w:val="CharStyle18"/>
          <w:spacing w:val="0"/>
        </w:rPr>
        <w:t>К.Г. Магомедов</w:t>
      </w:r>
    </w:p>
    <w:p>
      <w:pPr>
        <w:pStyle w:val="Style13"/>
        <w:framePr w:w="2485" w:h="1805" w:wrap="none" w:vAnchor="text" w:hAnchor="margin" w:x="7171" w:y="3"/>
        <w:widowControl w:val="0"/>
        <w:keepNext w:val="0"/>
        <w:keepLines w:val="0"/>
        <w:shd w:val="clear" w:color="auto" w:fill="auto"/>
        <w:bidi w:val="0"/>
        <w:jc w:val="right"/>
        <w:spacing w:before="0" w:after="0" w:line="643" w:lineRule="exact"/>
        <w:ind w:left="100" w:right="120" w:firstLine="0"/>
      </w:pPr>
      <w:r>
        <w:rPr>
          <w:rStyle w:val="CharStyle19"/>
          <w:lang w:val="en-US" w:eastAsia="en-US" w:bidi="en-US"/>
          <w:spacing w:val="0"/>
        </w:rPr>
        <w:t>s</w:t>
      </w:r>
      <w:r>
        <w:rPr>
          <w:rStyle w:val="CharStyle19"/>
          <w:spacing w:val="0"/>
        </w:rPr>
        <w:t>/А.Щ.</w:t>
      </w:r>
      <w:r>
        <w:rPr>
          <w:rStyle w:val="CharStyle18"/>
          <w:spacing w:val="0"/>
        </w:rPr>
        <w:t xml:space="preserve"> Магомедов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67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587" w:left="1136" w:right="1136" w:bottom="587" w:header="0" w:footer="3" w:gutter="0"/>
          <w:rtlGutter w:val="0"/>
          <w:cols w:space="720"/>
          <w:noEndnote/>
          <w:docGrid w:linePitch="360"/>
        </w:sectPr>
      </w:pP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Магомедов А.Ш. </w:t>
      </w:r>
      <w:r>
        <w:rPr>
          <w:rStyle w:val="CharStyle22"/>
        </w:rPr>
        <w:t>(</w:t>
      </w:r>
      <w:r>
        <w:rPr>
          <w:rStyle w:val="CharStyle23"/>
        </w:rPr>
        <w:t>67</w:t>
      </w:r>
      <w:r>
        <w:rPr>
          <w:rStyle w:val="CharStyle22"/>
        </w:rPr>
        <w:t>.</w:t>
      </w:r>
      <w:r>
        <w:rPr>
          <w:rStyle w:val="CharStyle23"/>
        </w:rPr>
        <w:t>20</w:t>
      </w:r>
      <w:r>
        <w:rPr>
          <w:rStyle w:val="CharStyle22"/>
        </w:rPr>
        <w:t>.</w:t>
      </w:r>
      <w:r>
        <w:rPr>
          <w:rStyle w:val="CharStyle23"/>
        </w:rPr>
        <w:t>95</w:t>
      </w:r>
      <w:r>
        <w:rPr>
          <w:rStyle w:val="CharStyle22"/>
        </w:rPr>
        <w:t>)</w:t>
      </w:r>
    </w:p>
    <w:sectPr>
      <w:type w:val="continuous"/>
      <w:pgSz w:w="11906" w:h="16838"/>
      <w:pgMar w:top="432" w:left="1213" w:right="8960" w:bottom="166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 (2)"/>
    <w:basedOn w:val="CharStyle4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0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  <w:w w:val="200"/>
      <w:spacing w:val="-30"/>
    </w:rPr>
  </w:style>
  <w:style w:type="character" w:customStyle="1" w:styleId="CharStyle11">
    <w:name w:val="Основной текст (4)"/>
    <w:basedOn w:val="CharStyle10"/>
    <w:rPr>
      <w:lang w:val="ru-RU" w:eastAsia="ru-RU" w:bidi="ru-RU"/>
      <w:u w:val="single"/>
      <w:color w:val="000000"/>
      <w:position w:val="0"/>
    </w:rPr>
  </w:style>
  <w:style w:type="character" w:customStyle="1" w:styleId="CharStyle12">
    <w:name w:val="Основной текст (4) + 4 pt,Не курсив,Интервал 0 pt,Масштаб 100%"/>
    <w:basedOn w:val="CharStyle10"/>
    <w:rPr>
      <w:lang w:val="ru-RU" w:eastAsia="ru-RU" w:bidi="ru-RU"/>
      <w:i/>
      <w:iCs/>
      <w:u w:val="single"/>
      <w:sz w:val="8"/>
      <w:szCs w:val="8"/>
      <w:w w:val="100"/>
      <w:spacing w:val="0"/>
      <w:color w:val="000000"/>
      <w:position w:val="0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5">
    <w:name w:val="Основной текст + Интервал 3 pt"/>
    <w:basedOn w:val="CharStyle14"/>
    <w:rPr>
      <w:lang w:val="ru-RU" w:eastAsia="ru-RU" w:bidi="ru-RU"/>
      <w:w w:val="100"/>
      <w:spacing w:val="60"/>
      <w:color w:val="000000"/>
      <w:position w:val="0"/>
    </w:rPr>
  </w:style>
  <w:style w:type="character" w:customStyle="1" w:styleId="CharStyle17">
    <w:name w:val="Основной текст (5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0"/>
      <w:szCs w:val="20"/>
      <w:rFonts w:ascii="Impact" w:eastAsia="Impact" w:hAnsi="Impact" w:cs="Impact"/>
    </w:rPr>
  </w:style>
  <w:style w:type="character" w:customStyle="1" w:styleId="CharStyle1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4"/>
    </w:rPr>
  </w:style>
  <w:style w:type="character" w:customStyle="1" w:styleId="CharStyle19">
    <w:name w:val="Основной текст + Полужирный,Курсив,Малые прописные,Интервал 0 pt Exact"/>
    <w:basedOn w:val="CharStyle14"/>
    <w:rPr>
      <w:lang w:val="ru-RU" w:eastAsia="ru-RU" w:bidi="ru-RU"/>
      <w:b/>
      <w:bCs/>
      <w:i/>
      <w:iCs/>
      <w:smallCaps/>
      <w:sz w:val="24"/>
      <w:szCs w:val="24"/>
      <w:w w:val="100"/>
      <w:spacing w:val="8"/>
      <w:color w:val="000000"/>
      <w:position w:val="0"/>
    </w:rPr>
  </w:style>
  <w:style w:type="character" w:customStyle="1" w:styleId="CharStyle21">
    <w:name w:val="Основной текст (6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22">
    <w:name w:val="Основной текст (6) + 6 pt,Полужирный"/>
    <w:basedOn w:val="CharStyle21"/>
    <w:rPr>
      <w:lang w:val="ru-RU" w:eastAsia="ru-RU" w:bidi="ru-RU"/>
      <w:b/>
      <w:bCs/>
      <w:sz w:val="12"/>
      <w:szCs w:val="12"/>
      <w:w w:val="100"/>
      <w:spacing w:val="0"/>
      <w:color w:val="000000"/>
      <w:position w:val="0"/>
    </w:rPr>
  </w:style>
  <w:style w:type="character" w:customStyle="1" w:styleId="CharStyle23">
    <w:name w:val="Основной текст (6)"/>
    <w:basedOn w:val="CharStyle21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00" w:after="60" w:line="336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line="245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0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spacing w:after="420" w:line="0" w:lineRule="exact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  <w:w w:val="200"/>
      <w:spacing w:val="-30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spacing w:line="317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jc w:val="right"/>
      <w:spacing w:before="90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Impact" w:eastAsia="Impact" w:hAnsi="Impact" w:cs="Impact"/>
    </w:rPr>
  </w:style>
  <w:style w:type="paragraph" w:customStyle="1" w:styleId="Style20">
    <w:name w:val="Основной текст (6)"/>
    <w:basedOn w:val="Normal"/>
    <w:link w:val="CharStyle21"/>
    <w:pPr>
      <w:widowControl w:val="0"/>
      <w:shd w:val="clear" w:color="auto" w:fill="FFFFFF"/>
      <w:jc w:val="both"/>
      <w:spacing w:line="182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