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ФЕДЕРАЛЬНАЯ АНТИМОНОПОЛЬНАЯ СЛУЖБА </w:t>
      </w:r>
      <w:r>
        <w:rPr>
          <w:rStyle w:val="CharStyle5"/>
        </w:rPr>
        <w:t>УПРАВЛЕНИЕ</w:t>
      </w:r>
    </w:p>
    <w:p>
      <w:pPr>
        <w:pStyle w:val="Style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Федеральной антимонопольной службы</w:t>
      </w:r>
    </w:p>
    <w:p>
      <w:pPr>
        <w:pStyle w:val="Style6"/>
        <w:widowControl w:val="0"/>
        <w:keepNext w:val="0"/>
        <w:keepLines w:val="0"/>
        <w:shd w:val="clear" w:color="auto" w:fill="auto"/>
        <w:bidi w:val="0"/>
        <w:spacing w:before="0" w:after="0" w:line="360" w:lineRule="exact"/>
        <w:ind w:left="0" w:right="0" w:firstLine="0"/>
      </w:pPr>
      <w:r>
        <w:rPr>
          <w:lang w:val="ru-RU" w:eastAsia="ru-RU" w:bidi="ru-RU"/>
          <w:w w:val="100"/>
          <w:spacing w:val="0"/>
          <w:color w:val="000000"/>
          <w:position w:val="0"/>
        </w:rPr>
        <w:t>по Республике Калмыкия</w:t>
      </w:r>
    </w:p>
    <w:p>
      <w:pPr>
        <w:pStyle w:val="Style3"/>
        <w:widowControl w:val="0"/>
        <w:keepNext w:val="0"/>
        <w:keepLines w:val="0"/>
        <w:shd w:val="clear" w:color="auto" w:fill="auto"/>
        <w:bidi w:val="0"/>
        <w:spacing w:before="0" w:after="0" w:line="360" w:lineRule="exact"/>
        <w:ind w:left="0" w:right="0" w:firstLine="0"/>
      </w:pPr>
      <w:r>
        <w:rPr>
          <w:lang w:val="ru-RU" w:eastAsia="ru-RU" w:bidi="ru-RU"/>
          <w:w w:val="100"/>
          <w:spacing w:val="0"/>
          <w:color w:val="000000"/>
          <w:position w:val="0"/>
        </w:rPr>
        <w:t xml:space="preserve">ул. Лермонтова, д. 4, г. Элиста, 358000 тел./факс.:(84722) 4-13-33 </w:t>
      </w:r>
      <w:r>
        <w:rPr>
          <w:lang w:val="en-US" w:eastAsia="en-US" w:bidi="en-US"/>
          <w:w w:val="100"/>
          <w:spacing w:val="0"/>
          <w:color w:val="000000"/>
          <w:position w:val="0"/>
        </w:rPr>
        <w:t xml:space="preserve">e-mail: </w:t>
      </w:r>
      <w:r>
        <w:fldChar w:fldCharType="begin"/>
      </w:r>
      <w:r>
        <w:rPr>
          <w:rStyle w:val="CharStyle8"/>
        </w:rPr>
        <w:instrText> HYPERLINK "mailto:to08@fas.gov.ru" </w:instrText>
      </w:r>
      <w:r>
        <w:fldChar w:fldCharType="separate"/>
      </w:r>
      <w:r>
        <w:rPr>
          <w:rStyle w:val="Hyperlink"/>
        </w:rPr>
        <w:t>to08@fas.gov.ru</w:t>
      </w:r>
      <w:r>
        <w:fldChar w:fldCharType="end"/>
      </w:r>
    </w:p>
    <w:p>
      <w:pPr>
        <w:pStyle w:val="Style3"/>
        <w:widowControl w:val="0"/>
        <w:keepNext w:val="0"/>
        <w:keepLines w:val="0"/>
        <w:shd w:val="clear" w:color="auto" w:fill="auto"/>
        <w:bidi w:val="0"/>
        <w:jc w:val="left"/>
        <w:spacing w:before="0" w:after="0" w:line="360" w:lineRule="exact"/>
        <w:ind w:left="0" w:right="0" w:firstLine="1420"/>
        <w:sectPr>
          <w:footnotePr>
            <w:pos w:val="pageBottom"/>
            <w:numFmt w:val="decimal"/>
            <w:numRestart w:val="continuous"/>
          </w:footnotePr>
          <w:type w:val="continuous"/>
          <w:pgSz w:w="11906" w:h="16838"/>
          <w:pgMar w:top="775" w:left="1503" w:right="1089" w:bottom="761" w:header="0" w:footer="3" w:gutter="0"/>
          <w:rtlGutter w:val="0"/>
          <w:cols w:num="2" w:space="720" w:equalWidth="0">
            <w:col w:w="3355" w:space="1847"/>
            <w:col w:w="4111"/>
          </w:cols>
          <w:noEndnote/>
          <w:docGrid w:linePitch="360"/>
        </w:sectPr>
      </w:pPr>
      <w:r>
        <w:rPr>
          <w:lang w:val="ru-RU" w:eastAsia="ru-RU" w:bidi="ru-RU"/>
          <w:w w:val="100"/>
          <w:spacing w:val="0"/>
          <w:color w:val="000000"/>
          <w:position w:val="0"/>
        </w:rPr>
        <w:t xml:space="preserve">ФЕДЕРАЛЬН АНТИМОНОПОЛЬН ЦЕРГЛЛТ </w:t>
      </w:r>
      <w:r>
        <w:rPr>
          <w:rStyle w:val="CharStyle5"/>
        </w:rPr>
        <w:t xml:space="preserve">Федеральн антимонопольн цергллтин Хальмг ТацЬчар </w:t>
      </w:r>
      <w:r>
        <w:rPr>
          <w:rStyle w:val="CharStyle5"/>
          <w:lang w:val="en-US" w:eastAsia="en-US" w:bidi="en-US"/>
          <w:vertAlign w:val="subscript"/>
        </w:rPr>
        <w:t>f</w:t>
      </w:r>
      <w:r>
        <w:rPr>
          <w:rStyle w:val="CharStyle5"/>
          <w:lang w:val="en-US" w:eastAsia="en-US" w:bidi="en-US"/>
        </w:rPr>
        <w:t xml:space="preserve"> </w:t>
      </w:r>
      <w:r>
        <w:rPr>
          <w:rStyle w:val="CharStyle5"/>
        </w:rPr>
        <w:t xml:space="preserve">УУЛДДГ ЗАЛЛТ </w:t>
      </w:r>
      <w:r>
        <w:rPr>
          <w:lang w:val="ru-RU" w:eastAsia="ru-RU" w:bidi="ru-RU"/>
          <w:w w:val="100"/>
          <w:spacing w:val="0"/>
          <w:color w:val="000000"/>
          <w:position w:val="0"/>
        </w:rPr>
        <w:t xml:space="preserve">Лермонтова, уульнц, 4 гер, Элст балЬсн, 358000 тел/факс: (84722) 4-13-33 </w:t>
      </w:r>
      <w:r>
        <w:rPr>
          <w:lang w:val="en-US" w:eastAsia="en-US" w:bidi="en-US"/>
          <w:w w:val="100"/>
          <w:spacing w:val="0"/>
          <w:color w:val="000000"/>
          <w:position w:val="0"/>
        </w:rPr>
        <w:t xml:space="preserve">e-mail: </w:t>
      </w:r>
      <w:r>
        <w:fldChar w:fldCharType="begin"/>
      </w:r>
      <w:r>
        <w:rPr>
          <w:rStyle w:val="CharStyle8"/>
        </w:rPr>
        <w:instrText> HYPERLINK "mailto:to08@fas.gov.ru" </w:instrText>
      </w:r>
      <w:r>
        <w:fldChar w:fldCharType="separate"/>
      </w:r>
      <w:r>
        <w:rPr>
          <w:rStyle w:val="Hyperlink"/>
        </w:rPr>
        <w:t>to08@fas.gov.ru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0" w:after="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20" w:lineRule="exact"/>
        <w:ind w:left="0" w:right="0" w:firstLine="0"/>
        <w:sectPr>
          <w:type w:val="continuous"/>
          <w:pgSz w:w="11906" w:h="16838"/>
          <w:pgMar w:top="775" w:left="4235" w:right="3961" w:bottom="761" w:header="0" w:footer="3" w:gutter="0"/>
          <w:rtlGutter w:val="0"/>
          <w:cols w:space="720"/>
          <w:noEndnote/>
          <w:docGrid w:linePitch="360"/>
        </w:sectPr>
      </w:pPr>
      <w:r>
        <w:rPr>
          <w:lang w:val="ru-RU" w:eastAsia="ru-RU" w:bidi="ru-RU"/>
          <w:w w:val="100"/>
          <w:spacing w:val="0"/>
          <w:color w:val="000000"/>
          <w:position w:val="0"/>
        </w:rPr>
        <w:t>РЕШЕНИЕ № 008/06/64-15/2021</w:t>
      </w:r>
    </w:p>
    <w:p>
      <w:pPr>
        <w:widowControl w:val="0"/>
        <w:spacing w:line="47"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framePr w:h="210" w:wrap="around" w:vAnchor="text" w:hAnchor="margin" w:x="8769" w:y="10"/>
        <w:widowControl w:val="0"/>
        <w:keepNext w:val="0"/>
        <w:keepLines w:val="0"/>
        <w:shd w:val="clear" w:color="auto" w:fill="auto"/>
        <w:bidi w:val="0"/>
        <w:jc w:val="left"/>
        <w:spacing w:before="0" w:after="0" w:line="210" w:lineRule="exact"/>
        <w:ind w:left="100" w:right="0" w:firstLine="0"/>
      </w:pPr>
      <w:r>
        <w:rPr>
          <w:rStyle w:val="CharStyle12"/>
          <w:spacing w:val="0"/>
        </w:rPr>
        <w:t>г. Элиста</w:t>
      </w:r>
    </w:p>
    <w:p>
      <w:pPr>
        <w:pStyle w:val="Style11"/>
        <w:widowControl w:val="0"/>
        <w:keepNext w:val="0"/>
        <w:keepLines w:val="0"/>
        <w:shd w:val="clear" w:color="auto" w:fill="auto"/>
        <w:bidi w:val="0"/>
        <w:jc w:val="left"/>
        <w:spacing w:before="0" w:after="229" w:line="220" w:lineRule="exact"/>
        <w:ind w:left="20" w:right="0" w:firstLine="0"/>
      </w:pPr>
      <w:r>
        <w:rPr>
          <w:lang w:val="ru-RU" w:eastAsia="ru-RU" w:bidi="ru-RU"/>
          <w:w w:val="100"/>
          <w:spacing w:val="0"/>
          <w:color w:val="000000"/>
          <w:position w:val="0"/>
        </w:rPr>
        <w:t>15 февраля 2020 г.</w:t>
      </w:r>
    </w:p>
    <w:p>
      <w:pPr>
        <w:pStyle w:val="Style11"/>
        <w:widowControl w:val="0"/>
        <w:keepNext w:val="0"/>
        <w:keepLines w:val="0"/>
        <w:shd w:val="clear" w:color="auto" w:fill="auto"/>
        <w:bidi w:val="0"/>
        <w:jc w:val="both"/>
        <w:spacing w:before="0" w:after="0" w:line="320" w:lineRule="exact"/>
        <w:ind w:left="4300" w:right="20" w:firstLine="0"/>
      </w:pPr>
      <w:r>
        <w:rPr>
          <w:lang w:val="ru-RU" w:eastAsia="ru-RU" w:bidi="ru-RU"/>
          <w:w w:val="100"/>
          <w:spacing w:val="0"/>
          <w:color w:val="000000"/>
          <w:position w:val="0"/>
        </w:rPr>
        <w:t>Резолютивная часть решения объявлена 15.02.2021 г. Изготовлено в полном объеме 15.02.2021 г.</w:t>
      </w:r>
    </w:p>
    <w:p>
      <w:pPr>
        <w:pStyle w:val="Style1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Республике Калмыкия по контролю в сфере закупок товаров, работ, услуг для обеспечения государственных и муниципальных нужд (далее - Комиссия Калмыцкого У ФАС России) в составе:</w:t>
      </w:r>
    </w:p>
    <w:p>
      <w:pPr>
        <w:pStyle w:val="Style11"/>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Сангаджиева М.В. - председатель Комиссии, руководитель Калмыцкого УФАС России,</w:t>
      </w:r>
    </w:p>
    <w:p>
      <w:pPr>
        <w:pStyle w:val="Style1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Мархадаева А.М. - член Комиссии, старший государственный инспектор Калмыцкого УФАС России,</w:t>
      </w:r>
    </w:p>
    <w:p>
      <w:pPr>
        <w:pStyle w:val="Style11"/>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Мукабенов Б.А. - член Комиссии, специалист 1 разряда Калмыцкого УФАС России,</w:t>
      </w:r>
    </w:p>
    <w:p>
      <w:pPr>
        <w:pStyle w:val="Style1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рассмотрение жалобы происходило с применением видео-конференц-связи, при участии:</w:t>
      </w:r>
    </w:p>
    <w:p>
      <w:pPr>
        <w:pStyle w:val="Style1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присутствии представителя Уполномоченного органа Службы регулирования контрактной системы в сфере закупок Республики Калмыкия - Очирова В.Г. (доверенность № 1 от 14.05.2020г.);</w:t>
      </w:r>
    </w:p>
    <w:p>
      <w:pPr>
        <w:pStyle w:val="Style1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отсутствии представителя Заказчика Администрация Багабурульского СМО РК, представителя заявителя ООО «ТехСтройПартнер» (далее - Заявитель), надлежаще уведомлены о дате и времени рассмотрения жалобы.</w:t>
      </w:r>
    </w:p>
    <w:p>
      <w:pPr>
        <w:pStyle w:val="Style11"/>
        <w:widowControl w:val="0"/>
        <w:keepNext w:val="0"/>
        <w:keepLines w:val="0"/>
        <w:shd w:val="clear" w:color="auto" w:fill="auto"/>
        <w:bidi w:val="0"/>
        <w:jc w:val="both"/>
        <w:spacing w:before="0" w:after="283" w:line="274" w:lineRule="exact"/>
        <w:ind w:left="20" w:right="0" w:firstLine="700"/>
      </w:pPr>
      <w:r>
        <w:rPr>
          <w:lang w:val="ru-RU" w:eastAsia="ru-RU" w:bidi="ru-RU"/>
          <w:w w:val="100"/>
          <w:spacing w:val="0"/>
          <w:color w:val="000000"/>
          <w:position w:val="0"/>
        </w:rPr>
        <w:t>Рассмотрев в открытом заседании жалобу ООО «ТехСтройПартнер»,</w:t>
      </w:r>
    </w:p>
    <w:p>
      <w:pPr>
        <w:pStyle w:val="Style9"/>
        <w:widowControl w:val="0"/>
        <w:keepNext w:val="0"/>
        <w:keepLines w:val="0"/>
        <w:shd w:val="clear" w:color="auto" w:fill="auto"/>
        <w:bidi w:val="0"/>
        <w:jc w:val="left"/>
        <w:spacing w:before="0" w:after="242" w:line="220" w:lineRule="exact"/>
        <w:ind w:left="4400" w:right="0" w:firstLine="0"/>
      </w:pPr>
      <w:r>
        <w:rPr>
          <w:lang w:val="ru-RU" w:eastAsia="ru-RU" w:bidi="ru-RU"/>
          <w:w w:val="100"/>
          <w:spacing w:val="0"/>
          <w:color w:val="000000"/>
          <w:position w:val="0"/>
        </w:rPr>
        <w:t xml:space="preserve">УСТАНОВИЛА </w:t>
      </w:r>
      <w:r>
        <w:rPr>
          <w:lang w:val="ru-RU" w:eastAsia="ru-RU" w:bidi="ru-RU"/>
          <w:vertAlign w:val="superscript"/>
          <w:w w:val="100"/>
          <w:spacing w:val="0"/>
          <w:color w:val="000000"/>
          <w:position w:val="0"/>
        </w:rPr>
        <w:t>?</w:t>
      </w:r>
    </w:p>
    <w:p>
      <w:pPr>
        <w:pStyle w:val="Style11"/>
        <w:widowControl w:val="0"/>
        <w:keepNext w:val="0"/>
        <w:keepLines w:val="0"/>
        <w:shd w:val="clear" w:color="auto" w:fill="auto"/>
        <w:bidi w:val="0"/>
        <w:jc w:val="both"/>
        <w:spacing w:before="0" w:after="0" w:line="313" w:lineRule="exact"/>
        <w:ind w:left="20" w:right="20" w:firstLine="700"/>
      </w:pPr>
      <w:r>
        <w:rPr>
          <w:lang w:val="ru-RU" w:eastAsia="ru-RU" w:bidi="ru-RU"/>
          <w:w w:val="100"/>
          <w:spacing w:val="0"/>
          <w:color w:val="000000"/>
          <w:position w:val="0"/>
        </w:rPr>
        <w:t>В Калмыцкое УФАС России 08.02.2021 г. поступила жалоба от ООО «ТехСтройПартнер» на действия Заказчика - Администрация Багабурульского СМО РК, уполномоченный орган - Служба регулирования контрактной системы в сфере закупок Республики Калмыкия при проведении электронного аукциона на капитальный ремонт сельского дома культуры по адресу: Республика Калмыкия, Ики-Бурульский район, п. Бага- бурул, ул. Басангова, д. 6, реестровый номер извещения № 0105500000221000031.</w:t>
      </w:r>
    </w:p>
    <w:p>
      <w:pPr>
        <w:pStyle w:val="Style1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Заявитель указывает, что положение аукционной документации Заказчика не соответствует Закону о контрактной системе.</w:t>
      </w:r>
    </w:p>
    <w:p>
      <w:pPr>
        <w:pStyle w:val="Style1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Уведомлением от 09.02.2021г. рассмотрение жалобы ООО «ТехСтройПартнер» назначено на 11 февраля 2021 года в 14 часов 00 минут. В связи с изучением материалов дела Комиссией Калмыцкого УФАС России был объявлен перерыв до 15 февраля 10 часов 00 минут, лица участвующие в деле надлежащим образом извещены о времени и месте рассмотрения жалобы ООО «ТехСтройПартнер».</w:t>
      </w:r>
      <w:r>
        <w:br w:type="page"/>
      </w:r>
    </w:p>
    <w:p>
      <w:pPr>
        <w:pStyle w:val="Style11"/>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Заявитель указывает, что:</w:t>
      </w:r>
    </w:p>
    <w:p>
      <w:pPr>
        <w:pStyle w:val="Style11"/>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Срок между датой окончания срока предоставления участникам аукциона разъяснений и датой окончания срока подачи заявок составляет более трёх дней, что лишает потенциальных участников закупки возможности подать запрос о даче заказчиком разъяснений положений документации не позднее чем за три дня до даты окончания срока подачи заявок и нарушает ч. 4, ст. 65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w:t>
      </w:r>
    </w:p>
    <w:p>
      <w:pPr>
        <w:pStyle w:val="Style11"/>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Представители Заказчика и Уполномоченного органа с доводами жалобы не согласны, представили письменные возражения, просили признать жалобу необоснованной.</w:t>
      </w:r>
    </w:p>
    <w:p>
      <w:pPr>
        <w:pStyle w:val="Style11"/>
        <w:numPr>
          <w:ilvl w:val="0"/>
          <w:numId w:val="1"/>
        </w:numPr>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 г. Комиссия Калмыцкого УФАС России, рассмотрев все имеющиеся материалы дела, выслушав лиц участвующих в деле, приходит к следующим выводам:</w:t>
      </w:r>
    </w:p>
    <w:p>
      <w:pPr>
        <w:pStyle w:val="Style11"/>
        <w:numPr>
          <w:ilvl w:val="0"/>
          <w:numId w:val="3"/>
        </w:numPr>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 года Заказчиком на официальном сайте Российской Федерации в информационно-телекоммуникационной сети «Интернет» </w:t>
      </w:r>
      <w:r>
        <w:fldChar w:fldCharType="begin"/>
      </w:r>
      <w:r>
        <w:rPr>
          <w:rStyle w:val="CharStyle14"/>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извещении № 0105500000221000031 о проведении электронного аукциона на капитальный ремонт сельского дома культуры по адресу: Республика Калмыкия, Ики-Бурульский район, п. Бага-бурул, ул. Басангова, д. 6.</w:t>
      </w:r>
    </w:p>
    <w:p>
      <w:pPr>
        <w:pStyle w:val="Style11"/>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Начальная (максимальная) цена контракта - 30 648 7$6 (тридцать миллионов шестьсот сорок восемь тысяч семьсот восемьдесят шесть) рублей 00 копеек.</w:t>
      </w:r>
    </w:p>
    <w:p>
      <w:pPr>
        <w:pStyle w:val="Style11"/>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Дата окончания срока предоставления участникам аукциона разъяснений - 05.02.2021 г.</w:t>
      </w:r>
    </w:p>
    <w:p>
      <w:pPr>
        <w:pStyle w:val="Style11"/>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Дата и время окончания срока подачи заявок - 09.02.2021 г. 10:00</w:t>
      </w:r>
    </w:p>
    <w:p>
      <w:pPr>
        <w:pStyle w:val="Style11"/>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Дата и время проведения электронногго аукциона - 09.02.2021 г.</w:t>
      </w:r>
    </w:p>
    <w:p>
      <w:pPr>
        <w:pStyle w:val="Style11"/>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Согласно части 3 статьи 65 Федерального закона </w:t>
      </w:r>
      <w:r>
        <w:rPr>
          <w:lang w:val="en-US" w:eastAsia="en-US" w:bidi="en-US"/>
          <w:w w:val="100"/>
          <w:spacing w:val="0"/>
          <w:color w:val="000000"/>
          <w:position w:val="0"/>
        </w:rPr>
        <w:t xml:space="preserve">N </w:t>
      </w:r>
      <w:r>
        <w:rPr>
          <w:lang w:val="ru-RU" w:eastAsia="ru-RU" w:bidi="ru-RU"/>
          <w:w w:val="100"/>
          <w:spacing w:val="0"/>
          <w:color w:val="000000"/>
          <w:position w:val="0"/>
        </w:rPr>
        <w:t>44-ФЗ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1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Пунктом 4 статьи 65 Федерального закона </w:t>
      </w:r>
      <w:r>
        <w:rPr>
          <w:lang w:val="en-US" w:eastAsia="en-US" w:bidi="en-US"/>
          <w:w w:val="100"/>
          <w:spacing w:val="0"/>
          <w:color w:val="000000"/>
          <w:position w:val="0"/>
        </w:rPr>
        <w:t xml:space="preserve">N </w:t>
      </w:r>
      <w:r>
        <w:rPr>
          <w:lang w:val="ru-RU" w:eastAsia="ru-RU" w:bidi="ru-RU"/>
          <w:w w:val="100"/>
          <w:spacing w:val="0"/>
          <w:color w:val="000000"/>
          <w:position w:val="0"/>
        </w:rPr>
        <w:t>44-ФЗ предусмотрено, что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1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В соответствии с частью 5 статьи 65 Федерального закона </w:t>
      </w:r>
      <w:r>
        <w:rPr>
          <w:lang w:val="en-US" w:eastAsia="en-US" w:bidi="en-US"/>
          <w:w w:val="100"/>
          <w:spacing w:val="0"/>
          <w:color w:val="000000"/>
          <w:position w:val="0"/>
        </w:rPr>
        <w:t xml:space="preserve">N </w:t>
      </w:r>
      <w:r>
        <w:rPr>
          <w:lang w:val="ru-RU" w:eastAsia="ru-RU" w:bidi="ru-RU"/>
          <w:w w:val="100"/>
          <w:spacing w:val="0"/>
          <w:color w:val="000000"/>
          <w:position w:val="0"/>
        </w:rPr>
        <w:t>44-ФЗ разъяснения положений документации об электронном аукционе не должны изменять ее суть.</w:t>
      </w:r>
    </w:p>
    <w:p>
      <w:pPr>
        <w:pStyle w:val="Style1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Комиссией Калмыцкого УФАС России установлено, что срок направления участником аукциона соответствующего запроса определен в соответствии с требованиями Закона о контрактной системе. Более того, заявителем в материалы дела не представлено доказательств, подтверждающих направление заявителем запроса на разъяснение положений документации, а заказчиком нарушение сроков предоставления ответа на соответствующий запрос.</w:t>
      </w:r>
    </w:p>
    <w:p>
      <w:pPr>
        <w:pStyle w:val="Style11"/>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Исходя из вышеизложенного, Комиссия приходит к выводу, что довод заявителя о нарушении заказчиком требований статьи 64 Закона о контрактной системе основан на неверном толковании норм Закона о контрактной системе и является несостоятельным.</w:t>
      </w:r>
    </w:p>
    <w:p>
      <w:pPr>
        <w:pStyle w:val="Style11"/>
        <w:widowControl w:val="0"/>
        <w:keepNext w:val="0"/>
        <w:keepLines w:val="0"/>
        <w:shd w:val="clear" w:color="auto" w:fill="auto"/>
        <w:bidi w:val="0"/>
        <w:jc w:val="both"/>
        <w:spacing w:before="0" w:after="283" w:line="274" w:lineRule="exact"/>
        <w:ind w:left="20" w:right="20" w:firstLine="700"/>
      </w:pPr>
      <w:r>
        <w:rPr>
          <w:lang w:val="ru-RU" w:eastAsia="ru-RU" w:bidi="ru-RU"/>
          <w:w w:val="100"/>
          <w:spacing w:val="0"/>
          <w:color w:val="000000"/>
          <w:position w:val="0"/>
        </w:rPr>
        <w:t>На основании изложенного, руководствуясь действующим законодательством, Комиссия Калмыцкого УФАС России,</w:t>
      </w:r>
    </w:p>
    <w:p>
      <w:pPr>
        <w:pStyle w:val="Style15"/>
        <w:widowControl w:val="0"/>
        <w:keepNext/>
        <w:keepLines/>
        <w:shd w:val="clear" w:color="auto" w:fill="auto"/>
        <w:bidi w:val="0"/>
        <w:jc w:val="left"/>
        <w:spacing w:before="0" w:after="9" w:line="220" w:lineRule="exact"/>
        <w:ind w:left="4660" w:right="0" w:firstLine="0"/>
      </w:pPr>
      <w:bookmarkStart w:id="0" w:name="bookmark0"/>
      <w:r>
        <w:rPr>
          <w:lang w:val="ru-RU" w:eastAsia="ru-RU" w:bidi="ru-RU"/>
          <w:w w:val="100"/>
          <w:spacing w:val="0"/>
          <w:color w:val="000000"/>
          <w:position w:val="0"/>
        </w:rPr>
        <w:t>РЕШИЛА:</w:t>
      </w:r>
      <w:bookmarkEnd w:id="0"/>
    </w:p>
    <w:p>
      <w:pPr>
        <w:pStyle w:val="Style11"/>
        <w:widowControl w:val="0"/>
        <w:keepNext w:val="0"/>
        <w:keepLines w:val="0"/>
        <w:shd w:val="clear" w:color="auto" w:fill="auto"/>
        <w:bidi w:val="0"/>
        <w:jc w:val="left"/>
        <w:spacing w:before="0" w:after="0" w:line="220" w:lineRule="exact"/>
        <w:ind w:left="860" w:right="0" w:firstLine="0"/>
        <w:sectPr>
          <w:type w:val="continuous"/>
          <w:pgSz w:w="11906" w:h="16838"/>
          <w:pgMar w:top="1140" w:left="1036" w:right="1041" w:bottom="1126" w:header="0" w:footer="3" w:gutter="0"/>
          <w:rtlGutter w:val="0"/>
          <w:cols w:space="720"/>
          <w:noEndnote/>
          <w:docGrid w:linePitch="360"/>
        </w:sectPr>
      </w:pPr>
      <w:r>
        <w:rPr>
          <w:lang w:val="ru-RU" w:eastAsia="ru-RU" w:bidi="ru-RU"/>
          <w:w w:val="100"/>
          <w:spacing w:val="0"/>
          <w:color w:val="000000"/>
          <w:position w:val="0"/>
        </w:rPr>
        <w:t>1. Признать жалобу ООО «ТехСтройПартнер» - необоснованной.</w:t>
      </w:r>
    </w:p>
    <w:p>
      <w:pPr>
        <w:pStyle w:val="Style17"/>
        <w:widowControl w:val="0"/>
        <w:keepNext w:val="0"/>
        <w:keepLines w:val="0"/>
        <w:shd w:val="clear" w:color="auto" w:fill="auto"/>
        <w:bidi w:val="0"/>
        <w:jc w:val="left"/>
        <w:spacing w:before="0" w:after="280"/>
        <w:ind w:left="0" w:right="0" w:firstLine="720"/>
      </w:pPr>
      <w:r>
        <w:rPr>
          <w:lang w:val="ru-RU" w:eastAsia="ru-RU" w:bidi="ru-RU"/>
          <w:w w:val="100"/>
          <w:spacing w:val="0"/>
          <w:color w:val="000000"/>
          <w:position w:val="0"/>
        </w:rPr>
        <w:t>Настоящее решение может быть месяцев с даты его принятия.</w:t>
      </w:r>
    </w:p>
    <w:p>
      <w:pPr>
        <w:pStyle w:val="Style11"/>
        <w:widowControl w:val="0"/>
        <w:keepNext w:val="0"/>
        <w:keepLines w:val="0"/>
        <w:shd w:val="clear" w:color="auto" w:fill="auto"/>
        <w:bidi w:val="0"/>
        <w:jc w:val="left"/>
        <w:spacing w:before="0" w:after="295" w:line="220" w:lineRule="exact"/>
        <w:ind w:left="0" w:right="0" w:firstLine="720"/>
      </w:pPr>
      <w:r>
        <w:rPr>
          <w:lang w:val="ru-RU" w:eastAsia="ru-RU" w:bidi="ru-RU"/>
          <w:w w:val="100"/>
          <w:spacing w:val="0"/>
          <w:color w:val="000000"/>
          <w:position w:val="0"/>
        </w:rPr>
        <w:t>Председатель комиссии</w:t>
      </w:r>
    </w:p>
    <w:p>
      <w:pPr>
        <w:pStyle w:val="Style11"/>
        <w:widowControl w:val="0"/>
        <w:keepNext w:val="0"/>
        <w:keepLines w:val="0"/>
        <w:shd w:val="clear" w:color="auto" w:fill="auto"/>
        <w:bidi w:val="0"/>
        <w:jc w:val="left"/>
        <w:spacing w:before="0" w:after="0" w:line="220" w:lineRule="exact"/>
        <w:ind w:left="0" w:right="0" w:firstLine="720"/>
      </w:pPr>
      <w:r>
        <w:rPr>
          <w:lang w:val="ru-RU" w:eastAsia="ru-RU" w:bidi="ru-RU"/>
          <w:w w:val="100"/>
          <w:spacing w:val="0"/>
          <w:color w:val="000000"/>
          <w:position w:val="0"/>
        </w:rPr>
        <w:t>Члены комиссии</w:t>
      </w:r>
    </w:p>
    <w:p>
      <w:pPr>
        <w:pStyle w:val="Style17"/>
        <w:widowControl w:val="0"/>
        <w:keepNext w:val="0"/>
        <w:keepLines w:val="0"/>
        <w:shd w:val="clear" w:color="auto" w:fill="auto"/>
        <w:bidi w:val="0"/>
        <w:jc w:val="both"/>
        <w:spacing w:before="0" w:after="292" w:line="230" w:lineRule="exact"/>
        <w:ind w:left="40" w:right="0" w:firstLine="0"/>
      </w:pPr>
      <w:r>
        <w:rPr>
          <w:lang w:val="ru-RU" w:eastAsia="ru-RU" w:bidi="ru-RU"/>
          <w:w w:val="100"/>
          <w:spacing w:val="0"/>
          <w:color w:val="000000"/>
          <w:position w:val="0"/>
        </w:rPr>
        <w:t>обжаловано в судебном порядке в течение трех</w:t>
      </w:r>
    </w:p>
    <w:p>
      <w:pPr>
        <w:pStyle w:val="Style11"/>
        <w:widowControl w:val="0"/>
        <w:keepNext w:val="0"/>
        <w:keepLines w:val="0"/>
        <w:shd w:val="clear" w:color="auto" w:fill="auto"/>
        <w:bidi w:val="0"/>
        <w:jc w:val="both"/>
        <w:spacing w:before="0" w:after="0" w:line="544" w:lineRule="exact"/>
        <w:ind w:left="40" w:right="0" w:firstLine="0"/>
        <w:sectPr>
          <w:pgSz w:w="11906" w:h="16838"/>
          <w:pgMar w:top="86" w:left="1515" w:right="572" w:bottom="964" w:header="0" w:footer="3" w:gutter="0"/>
          <w:rtlGutter w:val="0"/>
          <w:cols w:num="2" w:space="720" w:equalWidth="0">
            <w:col w:w="4450" w:space="119"/>
            <w:col w:w="5249"/>
          </w:cols>
          <w:noEndnote/>
          <w:docGrid w:linePitch="360"/>
        </w:sectPr>
      </w:pPr>
      <w:r>
        <w:rPr>
          <w:lang w:val="ru-RU" w:eastAsia="ru-RU" w:bidi="ru-RU"/>
          <w:w w:val="100"/>
          <w:spacing w:val="0"/>
          <w:color w:val="000000"/>
          <w:position w:val="0"/>
        </w:rPr>
        <w:t>Сангаджиева М.В. Мархадаева А.М. Мукабенов Б.А.</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4" w:after="10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4169" w:line="110" w:lineRule="exact"/>
        <w:ind w:left="20" w:right="0" w:firstLine="0"/>
      </w:pPr>
      <w:r>
        <w:rPr>
          <w:w w:val="100"/>
          <w:spacing w:val="0"/>
          <w:color w:val="000000"/>
          <w:position w:val="0"/>
        </w:rPr>
        <w:t>t</w:t>
      </w:r>
    </w:p>
    <w:p>
      <w:pPr>
        <w:pStyle w:val="Style21"/>
        <w:widowControl w:val="0"/>
        <w:keepNext w:val="0"/>
        <w:keepLines w:val="0"/>
        <w:shd w:val="clear" w:color="auto" w:fill="auto"/>
        <w:bidi w:val="0"/>
        <w:jc w:val="left"/>
        <w:spacing w:before="0" w:after="4174" w:line="110" w:lineRule="exact"/>
        <w:ind w:left="20" w:right="0" w:firstLine="0"/>
      </w:pPr>
      <w:r>
        <w:rPr>
          <w:lang w:val="ru-RU" w:eastAsia="ru-RU" w:bidi="ru-RU"/>
          <w:w w:val="100"/>
          <w:spacing w:val="0"/>
          <w:color w:val="000000"/>
          <w:position w:val="0"/>
        </w:rPr>
        <w:t>I</w:t>
      </w:r>
    </w:p>
    <w:p>
      <w:pPr>
        <w:pStyle w:val="Style23"/>
        <w:widowControl w:val="0"/>
        <w:keepNext w:val="0"/>
        <w:keepLines w:val="0"/>
        <w:shd w:val="clear" w:color="auto" w:fill="auto"/>
        <w:bidi w:val="0"/>
        <w:jc w:val="left"/>
        <w:spacing w:before="0" w:after="0" w:line="100" w:lineRule="exact"/>
        <w:ind w:left="20" w:right="0" w:firstLine="0"/>
      </w:pPr>
      <w:r>
        <w:rPr>
          <w:w w:val="100"/>
          <w:spacing w:val="0"/>
          <w:color w:val="000000"/>
          <w:position w:val="0"/>
        </w:rPr>
        <w:t>t</w:t>
      </w:r>
    </w:p>
    <w:sectPr>
      <w:type w:val="continuous"/>
      <w:pgSz w:w="11906" w:h="16838"/>
      <w:pgMar w:top="86" w:left="7761" w:right="3959" w:bottom="96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5.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1.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 10 pt,Полужирный"/>
    <w:basedOn w:val="CharStyle4"/>
    <w:rPr>
      <w:lang w:val="ru-RU" w:eastAsia="ru-RU" w:bidi="ru-RU"/>
      <w:b/>
      <w:bCs/>
      <w:sz w:val="20"/>
      <w:szCs w:val="20"/>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4"/>
    <w:rPr>
      <w:lang w:val="en-US" w:eastAsia="en-US" w:bidi="en-US"/>
      <w:u w:val="single"/>
      <w:w w:val="100"/>
      <w:spacing w:val="0"/>
      <w:color w:val="000000"/>
      <w:position w:val="0"/>
    </w:rPr>
  </w:style>
  <w:style w:type="character" w:customStyle="1" w:styleId="CharStyle10">
    <w:name w:val="Основной текст (4)_"/>
    <w:basedOn w:val="DefaultParagraphFont"/>
    <w:link w:val="Style9"/>
    <w:rPr>
      <w:b/>
      <w:bCs/>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6"/>
    </w:rPr>
  </w:style>
  <w:style w:type="character" w:customStyle="1" w:styleId="CharStyle13">
    <w:name w:val="Основной текст_"/>
    <w:basedOn w:val="DefaultParagraphFont"/>
    <w:link w:val="Style11"/>
    <w:rPr>
      <w:b w:val="0"/>
      <w:bCs w:val="0"/>
      <w:i w:val="0"/>
      <w:iCs w:val="0"/>
      <w:u w:val="none"/>
      <w:strike w:val="0"/>
      <w:smallCaps w:val="0"/>
      <w:sz w:val="22"/>
      <w:szCs w:val="22"/>
      <w:rFonts w:ascii="Times New Roman" w:eastAsia="Times New Roman" w:hAnsi="Times New Roman" w:cs="Times New Roman"/>
    </w:rPr>
  </w:style>
  <w:style w:type="character" w:customStyle="1" w:styleId="CharStyle14">
    <w:name w:val="Основной текст"/>
    <w:basedOn w:val="CharStyle13"/>
    <w:rPr>
      <w:lang w:val="en-US" w:eastAsia="en-US" w:bidi="en-US"/>
      <w:u w:val="single"/>
      <w:w w:val="100"/>
      <w:spacing w:val="0"/>
      <w:color w:val="000000"/>
      <w:position w:val="0"/>
    </w:rPr>
  </w:style>
  <w:style w:type="character" w:customStyle="1" w:styleId="CharStyle16">
    <w:name w:val="Заголовок №1_"/>
    <w:basedOn w:val="DefaultParagraphFont"/>
    <w:link w:val="Style15"/>
    <w:rPr>
      <w:b/>
      <w:bCs/>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5)_"/>
    <w:basedOn w:val="DefaultParagraphFont"/>
    <w:link w:val="Style17"/>
    <w:rPr>
      <w:b w:val="0"/>
      <w:bCs w:val="0"/>
      <w:i/>
      <w:iCs/>
      <w:u w:val="none"/>
      <w:strike w:val="0"/>
      <w:smallCaps w:val="0"/>
      <w:sz w:val="23"/>
      <w:szCs w:val="23"/>
      <w:rFonts w:ascii="Times New Roman" w:eastAsia="Times New Roman" w:hAnsi="Times New Roman" w:cs="Times New Roman"/>
    </w:rPr>
  </w:style>
  <w:style w:type="character" w:customStyle="1" w:styleId="CharStyle20">
    <w:name w:val="Основной текст (6)_"/>
    <w:basedOn w:val="DefaultParagraphFont"/>
    <w:link w:val="Style19"/>
    <w:rPr>
      <w:lang w:val="en-US" w:eastAsia="en-US" w:bidi="en-US"/>
      <w:b w:val="0"/>
      <w:bCs w:val="0"/>
      <w:i w:val="0"/>
      <w:iCs w:val="0"/>
      <w:u w:val="none"/>
      <w:strike w:val="0"/>
      <w:smallCaps w:val="0"/>
      <w:sz w:val="11"/>
      <w:szCs w:val="11"/>
      <w:rFonts w:ascii="Arial" w:eastAsia="Arial" w:hAnsi="Arial" w:cs="Arial"/>
    </w:rPr>
  </w:style>
  <w:style w:type="character" w:customStyle="1" w:styleId="CharStyle22">
    <w:name w:val="Основной текст (7)_"/>
    <w:basedOn w:val="DefaultParagraphFont"/>
    <w:link w:val="Style21"/>
    <w:rPr>
      <w:b w:val="0"/>
      <w:bCs w:val="0"/>
      <w:i w:val="0"/>
      <w:iCs w:val="0"/>
      <w:u w:val="none"/>
      <w:strike w:val="0"/>
      <w:smallCaps w:val="0"/>
      <w:sz w:val="11"/>
      <w:szCs w:val="11"/>
      <w:rFonts w:ascii="Sylfaen" w:eastAsia="Sylfaen" w:hAnsi="Sylfaen" w:cs="Sylfaen"/>
    </w:rPr>
  </w:style>
  <w:style w:type="character" w:customStyle="1" w:styleId="CharStyle24">
    <w:name w:val="Основной текст (8)_"/>
    <w:basedOn w:val="DefaultParagraphFont"/>
    <w:link w:val="Style23"/>
    <w:rPr>
      <w:lang w:val="en-US" w:eastAsia="en-US" w:bidi="en-US"/>
      <w:b w:val="0"/>
      <w:bCs w:val="0"/>
      <w:i w:val="0"/>
      <w:iCs w:val="0"/>
      <w:u w:val="none"/>
      <w:strike w:val="0"/>
      <w:smallCaps w:val="0"/>
      <w:sz w:val="10"/>
      <w:szCs w:val="10"/>
      <w:rFonts w:ascii="Arial" w:eastAsia="Arial" w:hAnsi="Arial" w:cs="Arial"/>
    </w:rPr>
  </w:style>
  <w:style w:type="paragraph" w:customStyle="1" w:styleId="Style3">
    <w:name w:val="Основной текст (2)"/>
    <w:basedOn w:val="Normal"/>
    <w:link w:val="CharStyle4"/>
    <w:pPr>
      <w:widowControl w:val="0"/>
      <w:shd w:val="clear" w:color="auto" w:fill="FFFFFF"/>
      <w:jc w:val="center"/>
      <w:spacing w:line="371"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60" w:line="252"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w:basedOn w:val="Normal"/>
    <w:link w:val="CharStyle13"/>
    <w:pPr>
      <w:widowControl w:val="0"/>
      <w:shd w:val="clear" w:color="auto" w:fill="FFFFFF"/>
      <w:spacing w:after="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before="240" w:after="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after="240" w:line="270" w:lineRule="exact"/>
    </w:pPr>
    <w:rPr>
      <w:b w:val="0"/>
      <w:bCs w:val="0"/>
      <w:i/>
      <w:iCs/>
      <w:u w:val="none"/>
      <w:strike w:val="0"/>
      <w:smallCaps w:val="0"/>
      <w:sz w:val="23"/>
      <w:szCs w:val="23"/>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spacing w:after="4200" w:line="0" w:lineRule="exact"/>
    </w:pPr>
    <w:rPr>
      <w:lang w:val="en-US" w:eastAsia="en-US" w:bidi="en-US"/>
      <w:b w:val="0"/>
      <w:bCs w:val="0"/>
      <w:i w:val="0"/>
      <w:iCs w:val="0"/>
      <w:u w:val="none"/>
      <w:strike w:val="0"/>
      <w:smallCaps w:val="0"/>
      <w:sz w:val="11"/>
      <w:szCs w:val="11"/>
      <w:rFonts w:ascii="Arial" w:eastAsia="Arial" w:hAnsi="Arial" w:cs="Arial"/>
    </w:rPr>
  </w:style>
  <w:style w:type="paragraph" w:customStyle="1" w:styleId="Style21">
    <w:name w:val="Основной текст (7)"/>
    <w:basedOn w:val="Normal"/>
    <w:link w:val="CharStyle22"/>
    <w:pPr>
      <w:widowControl w:val="0"/>
      <w:shd w:val="clear" w:color="auto" w:fill="FFFFFF"/>
      <w:spacing w:before="4200" w:after="4200" w:line="0" w:lineRule="exact"/>
    </w:pPr>
    <w:rPr>
      <w:b w:val="0"/>
      <w:bCs w:val="0"/>
      <w:i w:val="0"/>
      <w:iCs w:val="0"/>
      <w:u w:val="none"/>
      <w:strike w:val="0"/>
      <w:smallCaps w:val="0"/>
      <w:sz w:val="11"/>
      <w:szCs w:val="11"/>
      <w:rFonts w:ascii="Sylfaen" w:eastAsia="Sylfaen" w:hAnsi="Sylfaen" w:cs="Sylfaen"/>
    </w:rPr>
  </w:style>
  <w:style w:type="paragraph" w:customStyle="1" w:styleId="Style23">
    <w:name w:val="Основной текст (8)"/>
    <w:basedOn w:val="Normal"/>
    <w:link w:val="CharStyle24"/>
    <w:pPr>
      <w:widowControl w:val="0"/>
      <w:shd w:val="clear" w:color="auto" w:fill="FFFFFF"/>
      <w:spacing w:before="4200" w:line="0" w:lineRule="exact"/>
    </w:pPr>
    <w:rPr>
      <w:lang w:val="en-US" w:eastAsia="en-US" w:bidi="en-US"/>
      <w:b w:val="0"/>
      <w:bCs w:val="0"/>
      <w:i w:val="0"/>
      <w:iCs w:val="0"/>
      <w:u w:val="none"/>
      <w:strike w:val="0"/>
      <w:smallCaps w:val="0"/>
      <w:sz w:val="10"/>
      <w:szCs w:val="10"/>
      <w:rFonts w:ascii="Arial" w:eastAsia="Arial" w:hAnsi="Arial" w:cs="Arial"/>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