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18" w:after="137"/>
        <w:ind w:left="140" w:right="0" w:firstLine="0"/>
      </w:pPr>
      <w:r>
        <w:rPr>
          <w:rStyle w:val="CharStyle5"/>
        </w:rPr>
        <w:t xml:space="preserve">ФЕДЕРАЛЬНАЯ </w:t>
      </w:r>
      <w:r>
        <w:rPr>
          <w:rStyle w:val="CharStyle6"/>
        </w:rPr>
        <w:t>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38"/>
        <w:ind w:left="140" w:right="0" w:firstLine="0"/>
      </w:pPr>
      <w:r>
        <w:rPr>
          <w:rStyle w:val="CharStyle9"/>
          <w:b/>
          <w:bCs/>
        </w:rPr>
        <w:t>УПРАВЛЕНИЕ по Курганской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335"/>
        <w:ind w:left="140" w:right="0" w:firstLine="0"/>
      </w:pPr>
      <w:r>
        <w:rPr>
          <w:rStyle w:val="CharStyle12"/>
        </w:rPr>
        <w:t xml:space="preserve">ул. М. Горького. 40, г. Курган, 640020 тел. (3522) 46-39-55, факс (3522) 46-39-85 </w:t>
      </w:r>
      <w:r>
        <w:rPr>
          <w:rStyle w:val="CharStyle1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88" w:line="240" w:lineRule="exact"/>
        <w:ind w:left="0" w:right="0" w:firstLine="0"/>
      </w:pPr>
      <w:r>
        <w:rPr>
          <w:rStyle w:val="CharStyle16"/>
          <w:i w:val="0"/>
          <w:iCs w:val="0"/>
        </w:rPr>
        <w:t xml:space="preserve">№ </w:t>
      </w:r>
      <w:r>
        <w:rPr>
          <w:rStyle w:val="CharStyle17"/>
          <w:i/>
          <w:iCs/>
        </w:rPr>
        <w:t>05-0zfal5-/</w:t>
      </w:r>
      <w:r>
        <w:rPr>
          <w:rStyle w:val="CharStyle18"/>
          <w:i/>
          <w:iCs/>
        </w:rPr>
        <w:t>4</w:t>
      </w:r>
    </w:p>
    <w:p>
      <w:pPr>
        <w:pStyle w:val="Style19"/>
        <w:tabs>
          <w:tab w:leader="none" w:pos="2142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rStyle w:val="CharStyle21"/>
        </w:rPr>
        <w:t>На №</w:t>
        <w:tab/>
        <w:t>от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232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656016,Алтайский край, г. Барнаул, ул. Власихинская, дом 49/1, офис 141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26"/>
        </w:rPr>
        <w:t xml:space="preserve">bolshunovl </w:t>
      </w:r>
      <w:r>
        <w:fldChar w:fldCharType="begin"/>
      </w:r>
      <w:r>
        <w:rPr>
          <w:rStyle w:val="CharStyle26"/>
        </w:rPr>
        <w:instrText> HYPERLINK "mailto:990@bk.ru" </w:instrText>
      </w:r>
      <w:r>
        <w:fldChar w:fldCharType="separate"/>
      </w:r>
      <w:r>
        <w:rPr>
          <w:rStyle w:val="Hyperlink"/>
        </w:rPr>
        <w:t>990@bk.ru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«Управление капитального строительства Курганской области»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Курганская область, г. Курган, ул. Коли Мяготина, 125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line="306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6"/>
        </w:rPr>
        <w:instrText> HYPERLINK "mailto:uks@kurganobl.ru" </w:instrText>
      </w:r>
      <w:r>
        <w:fldChar w:fldCharType="separate"/>
      </w:r>
      <w:r>
        <w:rPr>
          <w:rStyle w:val="Hyperlink"/>
        </w:rPr>
        <w:t>uks@kurganobl.ru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2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Курганская область, г. Курган, ул. Р. Зорге, д. 20, офис 1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1" w:left="1238" w:right="1112" w:bottom="707" w:header="0" w:footer="3" w:gutter="0"/>
          <w:rtlGutter w:val="0"/>
          <w:cols w:num="2" w:space="720" w:equalWidth="0">
            <w:col w:w="4003" w:space="612"/>
            <w:col w:w="4939"/>
          </w:cols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6"/>
        </w:rPr>
        <w:instrText> HYPERLINK "mailto:ugz@kurganobl.ru" </w:instrText>
      </w:r>
      <w:r>
        <w:fldChar w:fldCharType="separate"/>
      </w:r>
      <w:r>
        <w:rPr>
          <w:rStyle w:val="Hyperlink"/>
        </w:rPr>
        <w:t>ugz@kurganobl.ru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" w:line="240" w:lineRule="exact"/>
        <w:ind w:left="4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14" w:line="240" w:lineRule="exact"/>
        <w:ind w:left="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center"/>
        <w:spacing w:before="0" w:after="31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закупок № 05-02/19-2021</w:t>
      </w:r>
    </w:p>
    <w:p>
      <w:pPr>
        <w:pStyle w:val="Style24"/>
        <w:numPr>
          <w:ilvl w:val="0"/>
          <w:numId w:val="3"/>
        </w:numPr>
        <w:tabs>
          <w:tab w:leader="none" w:pos="8099" w:val="left"/>
          <w:tab w:leader="none" w:pos="15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8" w:line="240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г. Курган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 ФАС России) в составе: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rStyle w:val="CharStyle27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Андреева А.И.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Уполномоченного учреждения - Государственного казенного учреждения «Центр закупок и бухгалтерского учета Курганской области» - Колдина А.Н. (доверенность № 10 от 16.09.2020</w:t>
      </w:r>
      <w:r>
        <w:br w:type="page"/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г.).</w:t>
      </w:r>
      <w:bookmarkEnd w:id="0"/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 Заказчика - Государственного казенного учреждения «Управление капитального строительства Курганской области» (далее - Заказчик) Предеиной С.П. (Доверенность № б/н от 11.01.2021 г.), Куликовой Е.П. (Доверенность № 01-3 от 12.02.2021 г.),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представителя общества с ограниченной ответственностью «ТехСтройПартнер» (далее - ООО «ТехСтройПартнер»,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 - ЕИС), явку представителя не обеспечил, ходатайство о рассмотрении жалобы в отсутствие представителя не представил,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296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рассмотрев жалобу ООО «ТехСтройПартнер» (вх. № 495 от 10.02.2021 г.) на действия Заказчика - Государственного казенного учреждения «управление капитального строительства Курганской области» при осуществлении закупки путем проведения электронного аукциона на строительство объекта: «Хирургический корпус Курганского областного онкологического диспансера» (извещение № 0843500000221000104), и осуществив внеплановую проверку, руководствуясь статьями 99, 106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1" w:line="240" w:lineRule="exact"/>
        <w:ind w:left="4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Курганской области (далее - Курганское У ФАС России) поступила жалоба ООО «ТехСтройПартнер» (вх. № 495 от 10.02.2021 г.) на действия Государственного казенного учреждения «управление капитального строительства Курганской области» при осуществлении закупки путем проведения электронного аукциона на строительство объекта: «Хирургический корпус Курганского областного онкологического диспансера» (извещение № 0843500000221000104)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в своей жалобе указывает:</w:t>
      </w:r>
    </w:p>
    <w:p>
      <w:pPr>
        <w:pStyle w:val="Style2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проекте контракта, в нарушение требований части 4 статьи 110.2 Закона о контрактной системе отсутствует условие о том, что результатом выполненной работы по контракту является реконструированный объект капитального строительства, в отношении которого получено заключение органа государственного строительного надзора.</w:t>
      </w:r>
    </w:p>
    <w:p>
      <w:pPr>
        <w:pStyle w:val="Style2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Согласно доводу Заявителя, указанный Заказчиком в документации график выполнения строительно-монтажных работ не содержит требования «Методики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работ», утвержденной приказом Министерства строительства и жилищно- коммунального хозяйства РФ от 5 июня 2018 г. №336/пр (далее - Приказ №336/пр).</w:t>
      </w:r>
    </w:p>
    <w:p>
      <w:pPr>
        <w:pStyle w:val="Style24"/>
        <w:numPr>
          <w:ilvl w:val="0"/>
          <w:numId w:val="5"/>
        </w:numPr>
        <w:tabs>
          <w:tab w:leader="none" w:pos="11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составе документации об аукционе в нарушение Приказа министерства строительства и жилищно-коммунального хозяйства Российской Федерации от 23.12.2019 №841/пр отсутствует проект сметы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просит признать жалобу обоснованной, приостановить определение поставщика, провести внеплановую проверку.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rStyle w:val="CharStyle27"/>
        </w:rPr>
        <w:t xml:space="preserve">Представитель уполномоченного учреждения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доводами, 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rStyle w:val="CharStyle27"/>
        </w:rPr>
        <w:t xml:space="preserve">Представители Государственного казенного учреждения «Управление капитального строительства Курганской области»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доводами, изложенными Заявителем в жалобе, не согласны по основаниям, изложенным в возражениях, которые также приобщены к материалам дела по рассмотрению жалобы, и просит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административным регламентом по рассмотрению жалоб, утвержденным приказом Федеральной антимонопольной службы России от 19.11.2014 г. № 727/14, статьями 99, 106 Закона о контрактной системе, Комиссией Курганского УФАС России проведена внеплановая проверка, в результате которой установлено следующее.</w:t>
      </w:r>
    </w:p>
    <w:p>
      <w:pPr>
        <w:pStyle w:val="Style24"/>
        <w:numPr>
          <w:ilvl w:val="0"/>
          <w:numId w:val="7"/>
        </w:numPr>
        <w:tabs>
          <w:tab w:leader="none" w:pos="4095" w:val="center"/>
          <w:tab w:leader="none" w:pos="6104" w:val="right"/>
          <w:tab w:leader="none" w:pos="7807" w:val="right"/>
          <w:tab w:leader="none" w:pos="9351" w:val="right"/>
          <w:tab w:leader="none" w:pos="21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года в единой информационной системе в сфере закупок опубликовано извещение о проведении электронного аукциона на строительство объекта:</w:t>
        <w:tab/>
        <w:t>«Хирургический</w:t>
        <w:tab/>
        <w:t>корпус</w:t>
        <w:tab/>
        <w:t>Курганского</w:t>
        <w:tab/>
        <w:t>областного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онкологического диспансера» (извещение № 0843500000221000104).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составила 684 353 822 рубля 00 копеек.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является Государственное казенное учреждение «Управление капитального строительства Курганской области».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Размещение закупки осуществляет уполномоченное учреждение - Государственное казенное учреждение «Центр закупок и бухгалтерского учета Курганской области».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первому доводу жалобы Комиссия Курганского УФАС России отмечает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4 статьи 110.2 закона о контрактной системе результатом выполненной работы по контракту, предметом которого являются строительство, реконструкция объекта капитального строительства, является построенный и (или) реконструированный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и (или)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заключение федерального государственного экологического надзора в случаях, предусмотренных частью 7 статьи 54 Градостроительного кодекса Российской Федерации.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Перечень обязательных условий контракта установлен статьей 23, статьей 34, а также статьей 96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Положениями Закона о контрактной системе не установлено, что данное условие должно содержаться в проекте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довод Заявителя признан Комиссией Курганского УФАС России необоснованным.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второго довода жалобы Комиссия Курганского УФАС России отмечает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Приложением № 2 к проекту контракта является График выполнения строительно-монтажных работ.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Курганского УФАС России установлено, что График выполнения работ содержит, в том числе следующую информацию:</w:t>
      </w:r>
    </w:p>
    <w:p>
      <w:pPr>
        <w:pStyle w:val="Style24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 подписания сторонами акта о соответствии состояния земельного участка условиям Контракта - не позднее 7 рабочих дней с момента заключения Контракта.</w:t>
      </w:r>
    </w:p>
    <w:p>
      <w:pPr>
        <w:pStyle w:val="Style24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Сроки передачи Генподрядчику следующей документации:</w:t>
      </w:r>
    </w:p>
    <w:p>
      <w:pPr>
        <w:pStyle w:val="Style24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проектную и рабочую документацию со штампом «к производству работ» - не позднее 7 рабочих дней с момента заключения Контракта;</w:t>
      </w:r>
    </w:p>
    <w:p>
      <w:pPr>
        <w:pStyle w:val="Style24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разрешения на строительство (реконструкцию) объекта - не позднее 7 рабочих дней с момента заключения Контракта;</w:t>
      </w:r>
    </w:p>
    <w:p>
      <w:pPr>
        <w:pStyle w:val="Style24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решения собственника имущества о его сносе - не требуется;</w:t>
      </w:r>
    </w:p>
    <w:p>
      <w:pPr>
        <w:pStyle w:val="Style24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копию разрешения на вырубку зеленых и лесных насаждений - не требуется, так как по условиям Контракта оформление разрешения является обязанностью Генподрядчика;</w:t>
      </w:r>
    </w:p>
    <w:p>
      <w:pPr>
        <w:pStyle w:val="Style24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технических условий и разрешений на временное присоединение Объекта к сетям инженерно - технического обеспечения в соответствии с проектом организации строительства - не требуется;</w:t>
      </w:r>
    </w:p>
    <w:p>
      <w:pPr>
        <w:pStyle w:val="Style24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 - не установлен, так как по условиям Контракта оформление разрешения на производство земляных работ является обязанностью Генподрядчика.</w:t>
      </w:r>
    </w:p>
    <w:p>
      <w:pPr>
        <w:pStyle w:val="Style24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 подключения Объекта к сетям инженерно-технического обеспечения в соответствии с техническими условиями, предусмотренными проектной документацией - не установлен.</w:t>
      </w:r>
    </w:p>
    <w:p>
      <w:pPr>
        <w:pStyle w:val="Style24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Срок подписания акта о соответствии состояния земельного участка условиям Контракта при завершении строительства объекта - не позднее 7 рабочих дней с даты получения акта заказчиком.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 Заявителя не находит своего подтверждения, признан Комиссией Курганского УФАС России необоснованным.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третьего довода жалобы Комиссия Курганского УФАС России отмечает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6 статьи 110.2 Закона о контрактной системе 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силу части 6.1 статьи 110.2 Закона о контрактной системе оплата </w:t>
      </w:r>
      <w:r>
        <w:rPr>
          <w:rStyle w:val="CharStyle30"/>
        </w:rPr>
        <w:t xml:space="preserve">выполненных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</w:t>
        <w:softHyphen/>
        <w:t>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приведенной нормы следует, что смета контракта составляется, когда становится определенной цена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Разделом VI Приказа Минстроя России от 23 декабря 2019 года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строительства” (далее - Приказ № 841/пр) утверждены правила составления проекта сметы контракты.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письменных пояснений уполномоченного учреждения следует, что положениями Приказа № 841/пр, а также положениями статьи 110.2 Закона о контрактной системе не указывается на необходимость размещения в составе аукционной документации проекта сметы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34 Приказа № 841/пр в проекте сметы контракта указывается наименование, единица измерения, количество (объем) конструктивных решений (элементов), комплексов (видов) работ, цена каждого конструктивного решения (элемента) и (или) комплекса (вида) работ на единицу измерения и с учетом объемов работ, определенные в пределах НМЦК на выполнение подрядных работ, а также цена конструктивных решений (элементов), комплексов (видов) работ (на принятую единицу измерения и всего).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Проект сметы контракта размещен в составе аукционной документации.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доводы жалобы по своей сути указывают на нарушения при порядке обоснования начальной (максимальной) цены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согласно части 3 статьи 99 Закона о контрактной системе ФАС России осуществляет контроль в сфере закупок, за исключением контроля, предусмотренного частями 5,8 и 10 данной статьи.</w:t>
      </w:r>
    </w:p>
    <w:p>
      <w:pPr>
        <w:pStyle w:val="Style24"/>
        <w:tabs>
          <w:tab w:leader="none" w:pos="7762" w:val="right"/>
          <w:tab w:leader="none" w:pos="93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части 8 статьи 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заключенного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  <w:tab/>
        <w:t>Таким</w:t>
        <w:tab/>
        <w:t>образом,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рассмотрение доводов ООО "ТехСтройПартнер" о несоблюдении требований к определению и обоснованию начальной (максимальной) цены контракта при проведении электронного аукциона не относится к полномочиям Комиссии Курганского УФАС России.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Курганского УФАС России приходит к выводу о необоснованности довода Заявителей.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проведения внеплановой проверки вышеуказанной закупки, Комиссией Курганского УФАС России нарушения требований действующего законодательства в сфере закупок товаров, работ, услуг для обеспечения государственных и муниципальных нужд также не установлены. Исследовав предоставленные материалы, руководствуясь статьей 106 Закона о контрактной системе в сфере закупок, руководствуясь административным регламентом по рассмотрению жалоб, утвержденным приказом Федеральной антимонопольной службы России от 19.11.2014 № 727/14, ст.ст. 99, 106 Закона о контрактной системе, Комиссия Курганского УФАС России</w:t>
      </w:r>
    </w:p>
    <w:p>
      <w:pPr>
        <w:pStyle w:val="Style31"/>
        <w:widowControl w:val="0"/>
        <w:keepNext/>
        <w:keepLines/>
        <w:shd w:val="clear" w:color="auto" w:fill="auto"/>
        <w:bidi w:val="0"/>
        <w:jc w:val="left"/>
        <w:spacing w:before="0" w:after="311" w:line="240" w:lineRule="exact"/>
        <w:ind w:left="438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60" w:firstLine="0"/>
      </w:pPr>
      <w:r>
        <w:rPr>
          <w:rStyle w:val="CharStyle35"/>
          <w:i w:val="0"/>
          <w:iCs w:val="0"/>
        </w:rPr>
        <w:t xml:space="preserve">1. Признать жалобу ООО «ТехСтройПартнер» </w:t>
      </w:r>
      <w:r>
        <w:rPr>
          <w:rStyle w:val="CharStyle36"/>
          <w:i w:val="0"/>
          <w:iCs w:val="0"/>
        </w:rPr>
        <w:t xml:space="preserve">необоснованной.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</w:t>
      </w:r>
    </w:p>
    <w:sectPr>
      <w:type w:val="continuous"/>
      <w:pgSz w:w="11906" w:h="16838"/>
      <w:pgMar w:top="1078" w:left="1188" w:right="1188" w:bottom="1074" w:header="0" w:footer="3" w:gutter="155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640002"/>
      <w:numFmt w:val="decimal"/>
      <w:lvlText w:val="%1,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6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0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0,5 pt,Полужирный"/>
    <w:basedOn w:val="CharStyle4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3)"/>
    <w:basedOn w:val="CharStyle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4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lang w:val="en-US" w:eastAsia="en-US" w:bidi="en-US"/>
      <w:b w:val="0"/>
      <w:bCs w:val="0"/>
      <w:i/>
      <w:iCs/>
      <w:u w:val="none"/>
      <w:strike w:val="0"/>
      <w:smallCaps w:val="0"/>
      <w:sz w:val="23"/>
      <w:szCs w:val="23"/>
      <w:rFonts w:ascii="Verdana" w:eastAsia="Verdana" w:hAnsi="Verdana" w:cs="Verdana"/>
      <w:spacing w:val="10"/>
    </w:rPr>
  </w:style>
  <w:style w:type="character" w:customStyle="1" w:styleId="CharStyle16">
    <w:name w:val="Основной текст (5) + Candara,12 pt,Не курсив,Интервал 0 pt"/>
    <w:basedOn w:val="CharStyle15"/>
    <w:rPr>
      <w:lang w:val="ru-RU" w:eastAsia="ru-RU" w:bidi="ru-RU"/>
      <w:i/>
      <w:iCs/>
      <w:sz w:val="24"/>
      <w:szCs w:val="24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7">
    <w:name w:val="Основной текст (5)"/>
    <w:basedOn w:val="CharStyle15"/>
    <w:rPr>
      <w:u w:val="single"/>
      <w:w w:val="100"/>
      <w:color w:val="000000"/>
      <w:position w:val="0"/>
    </w:rPr>
  </w:style>
  <w:style w:type="character" w:customStyle="1" w:styleId="CharStyle18">
    <w:name w:val="Основной текст (5)"/>
    <w:basedOn w:val="CharStyle15"/>
    <w:rPr>
      <w:w w:val="10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8"/>
      <w:szCs w:val="18"/>
      <w:rFonts w:ascii="Verdana" w:eastAsia="Verdana" w:hAnsi="Verdana" w:cs="Verdana"/>
    </w:rPr>
  </w:style>
  <w:style w:type="character" w:customStyle="1" w:styleId="CharStyle21">
    <w:name w:val="Основной текст (6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"/>
    <w:basedOn w:val="CharStyle2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+ Полужирный"/>
    <w:basedOn w:val="CharStyle25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 + Полужирный"/>
    <w:basedOn w:val="CharStyle25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Заголовок №2_"/>
    <w:basedOn w:val="DefaultParagraphFont"/>
    <w:link w:val="Style3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Основной текст (8)_"/>
    <w:basedOn w:val="DefaultParagraphFont"/>
    <w:link w:val="Style33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5">
    <w:name w:val="Основной текст (8) + 12 pt,Не курсив"/>
    <w:basedOn w:val="CharStyle34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36">
    <w:name w:val="Основной текст (8) + 12 pt,Полужирный,Не курсив"/>
    <w:basedOn w:val="CharStyle34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60" w:line="30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60" w:after="3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right"/>
      <w:spacing w:before="360" w:after="2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3"/>
      <w:szCs w:val="23"/>
      <w:rFonts w:ascii="Verdana" w:eastAsia="Verdana" w:hAnsi="Verdana" w:cs="Verdana"/>
      <w:spacing w:val="10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Verdana" w:eastAsia="Verdana" w:hAnsi="Verdana" w:cs="Verdana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spacing w:before="60" w:after="240" w:line="31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Заголовок №2"/>
    <w:basedOn w:val="Normal"/>
    <w:link w:val="CharStyle32"/>
    <w:pPr>
      <w:widowControl w:val="0"/>
      <w:shd w:val="clear" w:color="auto" w:fill="FFFFFF"/>
      <w:outlineLvl w:val="1"/>
      <w:spacing w:before="240" w:after="6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Основной текст (8)"/>
    <w:basedOn w:val="Normal"/>
    <w:link w:val="CharStyle34"/>
    <w:pPr>
      <w:widowControl w:val="0"/>
      <w:shd w:val="clear" w:color="auto" w:fill="FFFFFF"/>
      <w:spacing w:before="660" w:after="120" w:line="616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