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0" w:after="87"/>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0" w:line="240" w:lineRule="exact"/>
        <w:ind w:left="0" w:right="0" w:firstLine="0"/>
      </w:pPr>
      <w:bookmarkStart w:id="0" w:name="bookmark0"/>
      <w:r>
        <w:rPr>
          <w:lang w:val="ru-RU" w:eastAsia="ru-RU" w:bidi="ru-RU"/>
          <w:sz w:val="24"/>
          <w:szCs w:val="24"/>
          <w:w w:val="100"/>
          <w:color w:val="000000"/>
          <w:position w:val="0"/>
        </w:rPr>
        <w:t>УПРАВЛЕНИЕ</w:t>
      </w:r>
      <w:bookmarkEnd w:id="0"/>
    </w:p>
    <w:p>
      <w:pPr>
        <w:pStyle w:val="Style3"/>
        <w:widowControl w:val="0"/>
        <w:keepNext w:val="0"/>
        <w:keepLines w:val="0"/>
        <w:shd w:val="clear" w:color="auto" w:fill="auto"/>
        <w:bidi w:val="0"/>
        <w:spacing w:before="0" w:after="95"/>
        <w:ind w:left="0" w:right="0" w:firstLine="0"/>
      </w:pPr>
      <w:r>
        <w:rPr>
          <w:lang w:val="ru-RU" w:eastAsia="ru-RU" w:bidi="ru-RU"/>
          <w:w w:val="100"/>
          <w:spacing w:val="0"/>
          <w:color w:val="000000"/>
          <w:position w:val="0"/>
        </w:rPr>
        <w:t>Федеральной антимонопольной службы по Ханты-Мансийскому автономному округу - Югре</w:t>
      </w:r>
    </w:p>
    <w:p>
      <w:pPr>
        <w:pStyle w:val="Style7"/>
        <w:widowControl w:val="0"/>
        <w:keepNext w:val="0"/>
        <w:keepLines w:val="0"/>
        <w:shd w:val="clear" w:color="auto" w:fill="auto"/>
        <w:bidi w:val="0"/>
        <w:spacing w:before="0" w:after="256"/>
        <w:ind w:left="0" w:right="0" w:firstLine="0"/>
      </w:pPr>
      <w:r>
        <w:rPr>
          <w:lang w:val="ru-RU" w:eastAsia="ru-RU" w:bidi="ru-RU"/>
          <w:w w:val="100"/>
          <w:color w:val="000000"/>
          <w:position w:val="0"/>
        </w:rPr>
        <w:t xml:space="preserve">ул. Мира, 27, г. Ханты-Мансийск, 628002 тел. (3467) 38-80-81 </w:t>
      </w:r>
      <w:r>
        <w:rPr>
          <w:lang w:val="en-US" w:eastAsia="en-US" w:bidi="en-US"/>
          <w:w w:val="100"/>
          <w:color w:val="000000"/>
          <w:position w:val="0"/>
        </w:rPr>
        <w:t xml:space="preserve">e-mail: </w:t>
      </w:r>
      <w:r>
        <w:fldChar w:fldCharType="begin"/>
      </w:r>
      <w:r>
        <w:rPr>
          <w:rStyle w:val="CharStyle9"/>
        </w:rPr>
        <w:instrText> HYPERLINK "mailto:to86@fas.gov.ru" </w:instrText>
      </w:r>
      <w:r>
        <w:fldChar w:fldCharType="separate"/>
      </w:r>
      <w:r>
        <w:rPr>
          <w:rStyle w:val="Hyperlink"/>
        </w:rPr>
        <w:t>to86@fas.gov.ru</w:t>
      </w:r>
      <w:r>
        <w:fldChar w:fldCharType="end"/>
      </w:r>
    </w:p>
    <w:p>
      <w:pPr>
        <w:pStyle w:val="Style10"/>
        <w:tabs>
          <w:tab w:leader="none" w:pos="1924" w:val="center"/>
          <w:tab w:leader="none" w:pos="2871" w:val="right"/>
        </w:tabs>
        <w:widowControl w:val="0"/>
        <w:keepNext w:val="0"/>
        <w:keepLines w:val="0"/>
        <w:shd w:val="clear" w:color="auto" w:fill="auto"/>
        <w:bidi w:val="0"/>
        <w:spacing w:before="0" w:after="0" w:line="210" w:lineRule="exact"/>
        <w:ind w:left="1100" w:right="0" w:firstLine="0"/>
      </w:pPr>
      <w:r>
        <w:rPr>
          <w:rStyle w:val="CharStyle12"/>
          <w:lang w:val="ru-RU" w:eastAsia="ru-RU" w:bidi="ru-RU"/>
        </w:rPr>
        <w:t>2021</w:t>
      </w:r>
      <w:r>
        <w:rPr>
          <w:lang w:val="ru-RU" w:eastAsia="ru-RU" w:bidi="ru-RU"/>
          <w:w w:val="100"/>
          <w:spacing w:val="0"/>
          <w:color w:val="000000"/>
          <w:position w:val="0"/>
        </w:rPr>
        <w:tab/>
        <w:t>№</w:t>
        <w:tab/>
        <w:t>03/ТИ-</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 xml:space="preserve">ЗАО "Сбербанк - </w:t>
      </w:r>
      <w:r>
        <w:rPr>
          <w:lang w:val="en-US" w:eastAsia="en-US" w:bidi="en-US"/>
          <w:w w:val="100"/>
          <w:spacing w:val="0"/>
          <w:color w:val="000000"/>
          <w:position w:val="0"/>
        </w:rPr>
        <w:t>ACT"</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119435, г. Москва, Большой Саввинский</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переулок, д. 12, стр.9</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Заявитель:</w:t>
      </w:r>
    </w:p>
    <w:p>
      <w:pPr>
        <w:pStyle w:val="Style10"/>
        <w:widowControl w:val="0"/>
        <w:keepNext w:val="0"/>
        <w:keepLines w:val="0"/>
        <w:shd w:val="clear" w:color="auto" w:fill="auto"/>
        <w:bidi w:val="0"/>
        <w:jc w:val="left"/>
        <w:spacing w:before="0" w:after="0" w:line="274" w:lineRule="exact"/>
        <w:ind w:left="20" w:right="880" w:firstLine="0"/>
      </w:pPr>
      <w:r>
        <w:rPr>
          <w:lang w:val="ru-RU" w:eastAsia="ru-RU" w:bidi="ru-RU"/>
          <w:w w:val="100"/>
          <w:spacing w:val="0"/>
          <w:color w:val="000000"/>
          <w:position w:val="0"/>
        </w:rPr>
        <w:t xml:space="preserve">ИП Бондарев Андрей Юрьевич Тел.: 8-930-957-42-20 </w:t>
      </w:r>
      <w:r>
        <w:rPr>
          <w:lang w:val="en-US" w:eastAsia="en-US" w:bidi="en-US"/>
          <w:w w:val="100"/>
          <w:spacing w:val="0"/>
          <w:color w:val="000000"/>
          <w:position w:val="0"/>
        </w:rPr>
        <w:t xml:space="preserve">e-mail: </w:t>
      </w:r>
      <w:r>
        <w:fldChar w:fldCharType="begin"/>
      </w:r>
      <w:r>
        <w:rPr>
          <w:rStyle w:val="CharStyle12"/>
        </w:rPr>
        <w:instrText> HYPERLINK "mailto:bondarevau2020@mail.ru" </w:instrText>
      </w:r>
      <w:r>
        <w:fldChar w:fldCharType="separate"/>
      </w:r>
      <w:r>
        <w:rPr>
          <w:rStyle w:val="Hyperlink"/>
        </w:rPr>
        <w:t>bondarevau2020@mail.ru</w:t>
      </w:r>
      <w:r>
        <w:fldChar w:fldCharType="end"/>
      </w:r>
      <w:r>
        <w:rPr>
          <w:lang w:val="en-US" w:eastAsia="en-US" w:bidi="en-US"/>
          <w:w w:val="100"/>
          <w:spacing w:val="0"/>
          <w:color w:val="000000"/>
          <w:position w:val="0"/>
        </w:rPr>
        <w:t xml:space="preserve"> </w:t>
      </w:r>
      <w:r>
        <w:rPr>
          <w:rStyle w:val="CharStyle13"/>
        </w:rPr>
        <w:t>Заказчик:</w:t>
      </w:r>
    </w:p>
    <w:p>
      <w:pPr>
        <w:pStyle w:val="Style10"/>
        <w:widowControl w:val="0"/>
        <w:keepNext w:val="0"/>
        <w:keepLines w:val="0"/>
        <w:shd w:val="clear" w:color="auto" w:fill="auto"/>
        <w:bidi w:val="0"/>
        <w:jc w:val="left"/>
        <w:spacing w:before="0" w:after="0" w:line="274" w:lineRule="exact"/>
        <w:ind w:left="20" w:right="360" w:firstLine="0"/>
      </w:pPr>
      <w:r>
        <w:rPr>
          <w:lang w:val="ru-RU" w:eastAsia="ru-RU" w:bidi="ru-RU"/>
          <w:w w:val="100"/>
          <w:spacing w:val="0"/>
          <w:color w:val="000000"/>
          <w:position w:val="0"/>
        </w:rPr>
        <w:t>Бюджетное учреждение Ханты-Мансийского автономного округа - Югры «Советская психоневрологическая больница»</w:t>
      </w:r>
    </w:p>
    <w:p>
      <w:pPr>
        <w:pStyle w:val="Style10"/>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6" w:h="16838"/>
          <w:pgMar w:top="306" w:left="1129" w:right="1359" w:bottom="803" w:header="0" w:footer="3" w:gutter="0"/>
          <w:rtlGutter w:val="0"/>
          <w:cols w:num="2" w:space="720" w:equalWidth="0">
            <w:col w:w="3906" w:space="490"/>
            <w:col w:w="5022"/>
          </w:cols>
          <w:noEndnote/>
          <w:docGrid w:linePitch="360"/>
        </w:sectPr>
      </w:pPr>
      <w:r>
        <w:rPr>
          <w:lang w:val="ru-RU" w:eastAsia="ru-RU" w:bidi="ru-RU"/>
          <w:w w:val="100"/>
          <w:spacing w:val="0"/>
          <w:color w:val="000000"/>
          <w:position w:val="0"/>
        </w:rPr>
        <w:t>628248, Тюменская область, Ханты-Мансийский автономный округ - Югра, Советский район, п. Алябьевский, территория промзона</w:t>
      </w:r>
    </w:p>
    <w:p>
      <w:pPr>
        <w:widowControl w:val="0"/>
        <w:spacing w:before="76" w:after="7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08" w:line="210" w:lineRule="exact"/>
        <w:ind w:left="0" w:right="0" w:firstLine="0"/>
      </w:pPr>
      <w:r>
        <w:rPr>
          <w:lang w:val="ru-RU" w:eastAsia="ru-RU" w:bidi="ru-RU"/>
          <w:w w:val="100"/>
          <w:spacing w:val="0"/>
          <w:color w:val="000000"/>
          <w:position w:val="0"/>
        </w:rPr>
        <w:t>РЕШЕНИЕ № 086/06/69-226/2021</w:t>
      </w:r>
    </w:p>
    <w:p>
      <w:pPr>
        <w:pStyle w:val="Style10"/>
        <w:tabs>
          <w:tab w:leader="none" w:pos="7926" w:val="center"/>
          <w:tab w:leader="none" w:pos="8966" w:val="center"/>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Резолютивная часть объявлена 11.02.2021</w:t>
        <w:tab/>
        <w:t>г.</w:t>
        <w:tab/>
        <w:t>Ханты-Мансийск</w:t>
      </w:r>
    </w:p>
    <w:p>
      <w:pPr>
        <w:pStyle w:val="Style10"/>
        <w:widowControl w:val="0"/>
        <w:keepNext w:val="0"/>
        <w:keepLines w:val="0"/>
        <w:shd w:val="clear" w:color="auto" w:fill="auto"/>
        <w:bidi w:val="0"/>
        <w:spacing w:before="0" w:after="180" w:line="274" w:lineRule="exact"/>
        <w:ind w:left="20" w:right="0" w:firstLine="0"/>
      </w:pPr>
      <w:r>
        <w:rPr>
          <w:lang w:val="ru-RU" w:eastAsia="ru-RU" w:bidi="ru-RU"/>
          <w:w w:val="100"/>
          <w:spacing w:val="0"/>
          <w:color w:val="000000"/>
          <w:position w:val="0"/>
        </w:rPr>
        <w:t>Изготовлено в полном объеме 11.02.2021</w:t>
      </w:r>
    </w:p>
    <w:p>
      <w:pPr>
        <w:pStyle w:val="Style10"/>
        <w:widowControl w:val="0"/>
        <w:keepNext w:val="0"/>
        <w:keepLines w:val="0"/>
        <w:shd w:val="clear" w:color="auto" w:fill="auto"/>
        <w:bidi w:val="0"/>
        <w:spacing w:before="0" w:after="177" w:line="274"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0"/>
        <w:widowControl w:val="0"/>
        <w:keepNext w:val="0"/>
        <w:keepLines w:val="0"/>
        <w:shd w:val="clear" w:color="auto" w:fill="auto"/>
        <w:bidi w:val="0"/>
        <w:spacing w:before="0" w:after="0" w:line="277" w:lineRule="exact"/>
        <w:ind w:left="20" w:right="0" w:firstLine="700"/>
      </w:pPr>
      <w:r>
        <w:rPr>
          <w:lang w:val="ru-RU" w:eastAsia="ru-RU" w:bidi="ru-RU"/>
          <w:w w:val="100"/>
          <w:spacing w:val="0"/>
          <w:color w:val="000000"/>
          <w:position w:val="0"/>
        </w:rPr>
        <w:t>Председателя комиссии:</w:t>
      </w:r>
    </w:p>
    <w:p>
      <w:pPr>
        <w:pStyle w:val="Style10"/>
        <w:widowControl w:val="0"/>
        <w:keepNext w:val="0"/>
        <w:keepLines w:val="0"/>
        <w:shd w:val="clear" w:color="auto" w:fill="auto"/>
        <w:bidi w:val="0"/>
        <w:spacing w:before="0" w:after="0" w:line="277" w:lineRule="exact"/>
        <w:ind w:left="20" w:right="0" w:firstLine="700"/>
      </w:pPr>
      <w:r>
        <w:rPr>
          <w:lang w:val="ru-RU" w:eastAsia="ru-RU" w:bidi="ru-RU"/>
          <w:w w:val="100"/>
          <w:spacing w:val="0"/>
          <w:color w:val="000000"/>
          <w:position w:val="0"/>
        </w:rPr>
        <w:t>-Миронов А.Г. - Заместитель руководителя Управления;</w:t>
      </w:r>
    </w:p>
    <w:p>
      <w:pPr>
        <w:pStyle w:val="Style10"/>
        <w:widowControl w:val="0"/>
        <w:keepNext w:val="0"/>
        <w:keepLines w:val="0"/>
        <w:shd w:val="clear" w:color="auto" w:fill="auto"/>
        <w:bidi w:val="0"/>
        <w:spacing w:before="0" w:after="0" w:line="277" w:lineRule="exact"/>
        <w:ind w:left="20" w:right="0" w:firstLine="700"/>
      </w:pPr>
      <w:r>
        <w:rPr>
          <w:lang w:val="ru-RU" w:eastAsia="ru-RU" w:bidi="ru-RU"/>
          <w:w w:val="100"/>
          <w:spacing w:val="0"/>
          <w:color w:val="000000"/>
          <w:position w:val="0"/>
        </w:rPr>
        <w:t>Членов комиссии:</w:t>
      </w:r>
    </w:p>
    <w:p>
      <w:pPr>
        <w:pStyle w:val="Style10"/>
        <w:numPr>
          <w:ilvl w:val="0"/>
          <w:numId w:val="1"/>
        </w:numPr>
        <w:widowControl w:val="0"/>
        <w:keepNext w:val="0"/>
        <w:keepLines w:val="0"/>
        <w:shd w:val="clear" w:color="auto" w:fill="auto"/>
        <w:bidi w:val="0"/>
        <w:spacing w:before="0" w:after="0" w:line="277" w:lineRule="exact"/>
        <w:ind w:left="20" w:right="0" w:firstLine="700"/>
      </w:pPr>
      <w:r>
        <w:rPr>
          <w:lang w:val="ru-RU" w:eastAsia="ru-RU" w:bidi="ru-RU"/>
          <w:w w:val="100"/>
          <w:spacing w:val="0"/>
          <w:color w:val="000000"/>
          <w:position w:val="0"/>
        </w:rPr>
        <w:t xml:space="preserve"> Сафонов С.И. - Ведущий специалист-эксперт отдела Управления;</w:t>
      </w:r>
    </w:p>
    <w:p>
      <w:pPr>
        <w:pStyle w:val="Style10"/>
        <w:numPr>
          <w:ilvl w:val="0"/>
          <w:numId w:val="1"/>
        </w:numPr>
        <w:widowControl w:val="0"/>
        <w:keepNext w:val="0"/>
        <w:keepLines w:val="0"/>
        <w:shd w:val="clear" w:color="auto" w:fill="auto"/>
        <w:bidi w:val="0"/>
        <w:spacing w:before="0" w:after="189" w:line="277" w:lineRule="exact"/>
        <w:ind w:left="20" w:right="0" w:firstLine="700"/>
      </w:pPr>
      <w:r>
        <w:rPr>
          <w:lang w:val="ru-RU" w:eastAsia="ru-RU" w:bidi="ru-RU"/>
          <w:w w:val="100"/>
          <w:spacing w:val="0"/>
          <w:color w:val="000000"/>
          <w:position w:val="0"/>
        </w:rPr>
        <w:t xml:space="preserve"> Бычков И.Т. - Государственный инспектор отдела Управления,</w:t>
      </w:r>
    </w:p>
    <w:p>
      <w:pPr>
        <w:pStyle w:val="Style10"/>
        <w:widowControl w:val="0"/>
        <w:keepNext w:val="0"/>
        <w:keepLines w:val="0"/>
        <w:shd w:val="clear" w:color="auto" w:fill="auto"/>
        <w:bidi w:val="0"/>
        <w:spacing w:before="0" w:after="0" w:line="266" w:lineRule="exact"/>
        <w:ind w:left="20" w:right="20" w:firstLine="700"/>
      </w:pPr>
      <w:r>
        <w:rPr>
          <w:lang w:val="ru-RU" w:eastAsia="ru-RU" w:bidi="ru-RU"/>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10"/>
        <w:widowControl w:val="0"/>
        <w:keepNext w:val="0"/>
        <w:keepLines w:val="0"/>
        <w:shd w:val="clear" w:color="auto" w:fill="auto"/>
        <w:bidi w:val="0"/>
        <w:spacing w:before="0" w:after="174" w:line="266" w:lineRule="exact"/>
        <w:ind w:left="20" w:right="20" w:firstLine="700"/>
      </w:pPr>
      <w:r>
        <w:rPr>
          <w:lang w:val="ru-RU" w:eastAsia="ru-RU" w:bidi="ru-RU"/>
          <w:w w:val="100"/>
          <w:spacing w:val="0"/>
          <w:color w:val="000000"/>
          <w:position w:val="0"/>
        </w:rPr>
        <w:t>от Заказчика - посредством видеоконференц-связи Ризванова Е.С. по доверенности №б/н от 25.01.2021г.,</w:t>
      </w:r>
    </w:p>
    <w:p>
      <w:pPr>
        <w:pStyle w:val="Style10"/>
        <w:widowControl w:val="0"/>
        <w:keepNext w:val="0"/>
        <w:keepLines w:val="0"/>
        <w:shd w:val="clear" w:color="auto" w:fill="auto"/>
        <w:bidi w:val="0"/>
        <w:spacing w:before="0" w:after="231" w:line="274" w:lineRule="exact"/>
        <w:ind w:left="20" w:right="20" w:firstLine="700"/>
      </w:pPr>
      <w:r>
        <w:rPr>
          <w:lang w:val="ru-RU" w:eastAsia="ru-RU" w:bidi="ru-RU"/>
          <w:w w:val="100"/>
          <w:spacing w:val="0"/>
          <w:color w:val="000000"/>
          <w:position w:val="0"/>
        </w:rPr>
        <w:t xml:space="preserve">рассмотрев жалобу от ИП Бондарев Андрей Юрьевич (ИНН 2313041 10315 ОГРНИП: 320508100399470) от 04.02.2021 №215-ж на действия Заказчика — Бюджетное учреждение Ханты-Мансийского автономного округа - Югры «Советская психоневрологическая больница», при проведении электронного аукциона предметом, которого является оказание образовательных услуг повышение квалификации среднего медицинского персонала (извещение № 0387200008720000191)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spacing w:before="0" w:after="95" w:line="210" w:lineRule="exact"/>
        <w:ind w:left="0" w:right="0" w:firstLine="0"/>
      </w:pPr>
      <w:r>
        <w:rPr>
          <w:lang w:val="ru-RU" w:eastAsia="ru-RU" w:bidi="ru-RU"/>
          <w:w w:val="100"/>
          <w:spacing w:val="0"/>
          <w:color w:val="000000"/>
          <w:position w:val="0"/>
        </w:rPr>
        <w:t>УСТАНОВИЛА:</w:t>
      </w:r>
    </w:p>
    <w:p>
      <w:pPr>
        <w:pStyle w:val="Style10"/>
        <w:widowControl w:val="0"/>
        <w:keepNext w:val="0"/>
        <w:keepLines w:val="0"/>
        <w:shd w:val="clear" w:color="auto" w:fill="auto"/>
        <w:bidi w:val="0"/>
        <w:spacing w:before="0" w:after="0" w:line="270" w:lineRule="exact"/>
        <w:ind w:left="20" w:right="20" w:firstLine="70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ИП Бондарев Андрей Юрьевич (ИНН 231304110315 ОГРНИП: 320508100399470) от 04.02.2021 №215-ж (далее - Заявитель) на действия Заказчика при проведении электронного аукциона (извещение № 0387200006421000001).</w:t>
      </w:r>
      <w:r>
        <w:br w:type="page"/>
      </w:r>
    </w:p>
    <w:p>
      <w:pPr>
        <w:pStyle w:val="Style10"/>
        <w:widowControl w:val="0"/>
        <w:keepNext w:val="0"/>
        <w:keepLines w:val="0"/>
        <w:shd w:val="clear" w:color="auto" w:fill="auto"/>
        <w:bidi w:val="0"/>
        <w:spacing w:before="0" w:after="0" w:line="210" w:lineRule="exact"/>
        <w:ind w:left="20" w:right="0" w:firstLine="700"/>
      </w:pPr>
      <w:r>
        <w:rPr>
          <w:lang w:val="ru-RU" w:eastAsia="ru-RU" w:bidi="ru-RU"/>
          <w:w w:val="100"/>
          <w:spacing w:val="0"/>
          <w:color w:val="000000"/>
          <w:position w:val="0"/>
        </w:rPr>
        <w:t>В доводе жалобы Заявитель указал следующее:</w:t>
      </w:r>
    </w:p>
    <w:p>
      <w:pPr>
        <w:pStyle w:val="Style10"/>
        <w:widowControl w:val="0"/>
        <w:keepNext w:val="0"/>
        <w:keepLines w:val="0"/>
        <w:shd w:val="clear" w:color="auto" w:fill="auto"/>
        <w:bidi w:val="0"/>
        <w:spacing w:before="0" w:after="240" w:line="266" w:lineRule="exact"/>
        <w:ind w:left="20" w:right="20" w:firstLine="700"/>
      </w:pPr>
      <w:r>
        <w:rPr>
          <w:lang w:val="ru-RU" w:eastAsia="ru-RU" w:bidi="ru-RU"/>
          <w:w w:val="100"/>
          <w:spacing w:val="0"/>
          <w:color w:val="000000"/>
          <w:position w:val="0"/>
        </w:rPr>
        <w:t>По мнению Заявителя, отклонение заявки участника ИП Бондарев А.Ю. является неправомерным и незаконным.</w:t>
      </w:r>
    </w:p>
    <w:p>
      <w:pPr>
        <w:pStyle w:val="Style3"/>
        <w:widowControl w:val="0"/>
        <w:keepNext w:val="0"/>
        <w:keepLines w:val="0"/>
        <w:shd w:val="clear" w:color="auto" w:fill="auto"/>
        <w:bidi w:val="0"/>
        <w:jc w:val="both"/>
        <w:spacing w:before="0" w:after="0" w:line="266" w:lineRule="exact"/>
        <w:ind w:left="20" w:right="20" w:firstLine="70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соответствии с требованиями частей 1 и 2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частью 3 статьи 84.1 настоящего Федерального закона,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указанного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Пунктом 2 части 5 статьи 66 Закона о контрактной системе предусмотрено, что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статьи 31 указанного Федерального закона, или копии этих документов.</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Согласно пункту 1 части 1 статьи 31 Закона о контрактной системе при осуществлении закупки заказчик устанавливает следующие единые требования к участникам закупки:</w:t>
      </w:r>
    </w:p>
    <w:p>
      <w:pPr>
        <w:pStyle w:val="Style10"/>
        <w:numPr>
          <w:ilvl w:val="0"/>
          <w:numId w:val="3"/>
        </w:numPr>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0"/>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В соответствии с пунктом 23 аукционной документации установлено следующее:</w:t>
      </w:r>
    </w:p>
    <w:p>
      <w:pPr>
        <w:pStyle w:val="Style14"/>
        <w:widowControl w:val="0"/>
        <w:keepNext w:val="0"/>
        <w:keepLines w:val="0"/>
        <w:shd w:val="clear" w:color="auto" w:fill="auto"/>
        <w:bidi w:val="0"/>
        <w:spacing w:before="0" w:after="0"/>
        <w:ind w:left="20" w:right="0"/>
      </w:pPr>
      <w:r>
        <w:rPr>
          <w:lang w:val="ru-RU" w:eastAsia="ru-RU" w:bidi="ru-RU"/>
          <w:sz w:val="24"/>
          <w:szCs w:val="24"/>
          <w:w w:val="100"/>
          <w:spacing w:val="0"/>
          <w:color w:val="000000"/>
          <w:position w:val="0"/>
        </w:rPr>
        <w:t>«&lt; &gt;</w:t>
      </w:r>
    </w:p>
    <w:p>
      <w:pPr>
        <w:pStyle w:val="Style10"/>
        <w:numPr>
          <w:ilvl w:val="0"/>
          <w:numId w:val="3"/>
        </w:numPr>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 документы, подтверждающие соответствие участника аукциона следующим требованиям:</w:t>
      </w:r>
    </w:p>
    <w:p>
      <w:pPr>
        <w:pStyle w:val="Style3"/>
        <w:widowControl w:val="0"/>
        <w:keepNext w:val="0"/>
        <w:keepLines w:val="0"/>
        <w:shd w:val="clear" w:color="auto" w:fill="auto"/>
        <w:bidi w:val="0"/>
        <w:jc w:val="both"/>
        <w:spacing w:before="0" w:after="0"/>
        <w:ind w:left="20" w:right="20" w:firstLine="700"/>
      </w:pPr>
      <w:r>
        <w:rPr>
          <w:rStyle w:val="CharStyle16"/>
          <w:b w:val="0"/>
          <w:bCs w:val="0"/>
        </w:rPr>
        <w:t xml:space="preserve">а) соответствие требованиям, установленным в соответствии с законодательством Российской Федерации к лицам, осуществляющим поставки товаров, выполнение работ и оказание услуг, являющихся объектом закупки: </w:t>
      </w:r>
      <w:r>
        <w:rPr>
          <w:lang w:val="ru-RU" w:eastAsia="ru-RU" w:bidi="ru-RU"/>
          <w:w w:val="100"/>
          <w:spacing w:val="0"/>
          <w:color w:val="000000"/>
          <w:position w:val="0"/>
        </w:rPr>
        <w:t>требуется Лицензия «Об образовательной деятельности» согласно п. 40 ст. 12 главы 2 Федерального закона от 04.05.2011г. № 99-ФЗ «О лицензировании отдельных видов деятельности» с приложением перечня разрешенных видов услуг;</w:t>
      </w:r>
    </w:p>
    <w:p>
      <w:pPr>
        <w:pStyle w:val="Style17"/>
        <w:widowControl w:val="0"/>
        <w:keepNext/>
        <w:keepLines/>
        <w:shd w:val="clear" w:color="auto" w:fill="auto"/>
        <w:bidi w:val="0"/>
        <w:spacing w:before="0" w:after="0"/>
        <w:ind w:left="20" w:right="0"/>
      </w:pPr>
      <w:bookmarkStart w:id="1" w:name="bookmark1"/>
      <w:r>
        <w:rPr>
          <w:lang w:val="ru-RU" w:eastAsia="ru-RU" w:bidi="ru-RU"/>
          <w:w w:val="100"/>
          <w:spacing w:val="0"/>
          <w:color w:val="000000"/>
          <w:position w:val="0"/>
        </w:rPr>
        <w:t>&lt;....&gt;».</w:t>
      </w:r>
      <w:bookmarkEnd w:id="1"/>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соответствии с частью 1 статьи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0"/>
        <w:numPr>
          <w:ilvl w:val="0"/>
          <w:numId w:val="5"/>
        </w:numPr>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9"/>
        <w:numPr>
          <w:ilvl w:val="0"/>
          <w:numId w:val="5"/>
        </w:numPr>
        <w:widowControl w:val="0"/>
        <w:keepNext/>
        <w:keepLines/>
        <w:shd w:val="clear" w:color="auto" w:fill="auto"/>
        <w:bidi w:val="0"/>
        <w:spacing w:before="0" w:after="0"/>
        <w:ind w:left="20" w:right="20"/>
      </w:pPr>
      <w:bookmarkStart w:id="2" w:name="bookmark2"/>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bookmarkEnd w:id="2"/>
    </w:p>
    <w:p>
      <w:pPr>
        <w:pStyle w:val="Style10"/>
        <w:numPr>
          <w:ilvl w:val="0"/>
          <w:numId w:val="5"/>
        </w:numPr>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Согласно протоколу подведения итогов электронного аукциона от 22.01.2021 №0387200008720000191-3, участника аукциона (ИП Бондарев А.Ю.) отклонили по следующим основаниям:</w:t>
      </w:r>
    </w:p>
    <w:p>
      <w:pPr>
        <w:pStyle w:val="Style10"/>
        <w:tabs>
          <w:tab w:leader="none" w:pos="3053" w:val="right"/>
          <w:tab w:leader="none" w:pos="4259" w:val="right"/>
          <w:tab w:leader="none" w:pos="5508" w:val="right"/>
          <w:tab w:leader="none" w:pos="6692" w:val="center"/>
          <w:tab w:leader="none" w:pos="7880" w:val="left"/>
          <w:tab w:leader="none" w:pos="10102" w:val="right"/>
        </w:tabs>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«на</w:t>
        <w:tab/>
        <w:t>основании</w:t>
        <w:tab/>
        <w:t>п.1</w:t>
        <w:tab/>
        <w:t>ч.б</w:t>
        <w:tab/>
        <w:t>ст.69</w:t>
        <w:tab/>
        <w:t>Закона</w:t>
        <w:tab/>
        <w:t>44-ФЗ</w:t>
      </w:r>
    </w:p>
    <w:p>
      <w:pPr>
        <w:pStyle w:val="Style10"/>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(Отсутствует Лицензия самого участника.) Отсутствие лицензии на образовательную деятельность не дает Заявителю право выступать от своего имени при заключении контракта на оказание образовательных услуг по повышению квалификации среднего медицинского персонала. Привлечение соисполнителя по контракту возможно только после заключения контракта. На момент участия в аукционе заявка участника закупки обязана соответствовать всем требованиям аукционной документации.</w:t>
      </w:r>
    </w:p>
    <w:p>
      <w:pPr>
        <w:pStyle w:val="Style10"/>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Пример: РЕШЕНИЕ Краснодарского УФАС 06.07.2020 № 1215/2020-КС».</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Комиссия Управления, изучив заявку участника (ИП Бондарев А.Ю.) установила, что ИП Бондарев А.Ю. приложил договор с сетевой организацией и лицензию этой организации на осуществление образовательной деятельности, тем самым подтвердив, что образовательные услуги </w:t>
      </w:r>
      <w:r>
        <w:rPr>
          <w:rStyle w:val="CharStyle13"/>
        </w:rPr>
        <w:t xml:space="preserve">непосредственно им оказываться не будут, </w:t>
      </w:r>
      <w:r>
        <w:rPr>
          <w:lang w:val="ru-RU" w:eastAsia="ru-RU" w:bidi="ru-RU"/>
          <w:w w:val="100"/>
          <w:spacing w:val="0"/>
          <w:color w:val="000000"/>
          <w:position w:val="0"/>
        </w:rPr>
        <w:t xml:space="preserve">что противоречит его доводам, указанным в жалобе, поэтому в данном случае в соответствии с частью 2 статьи 91 Федерального закона от 29 декабря 2012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273-ФЭ "Об образовании в Российской Федерации" у ИП Бондарева А.Ю. должна была быть приложена лицензия на образовательную деятельность, оформленная </w:t>
      </w:r>
      <w:r>
        <w:rPr>
          <w:rStyle w:val="CharStyle13"/>
        </w:rPr>
        <w:t>непосредственного на него.</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соответствии с пунктом 40 части 1 статьи 12 Федерального закона от 04.05.2011 №99- ФЗ «О лицензировании отдельных видов деятельности» образовательная деятельность (за исключением указанной деятельности, осуществляемой частными образовательными организациями на территории инновационного центра «Сколково») подлежит лицензированию.</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Согласно части 1 статьи 91 Федерального закона от 29.12.2012 № 273-ФЗ «Об образовании в Российской Федерации» (далее - Закон об образовании) лицензирование образовательной деятельности осуществляется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соответствии с частью 6 статьи 10 Закона об образовании дополнительное образование включает в себя такие подвиды, как дополнительное образование детей и взрослых и дополнительное профессиональное образование.</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Согласно части 4 статьи 91 Закона об образовании лицензия на осуществление образовательной деятельности имеет приложение, являющееся ее неотъемлемой частью. В приложении к лицензии, кроме прочей информации, указываются сведения о видах образования, об уровнях образования (для профессионального образования также сведения о профессиях, специальностях, направлениях подготовки и присваиваемой по соответствующим профессиям, специальностям и направлениям подготовки квалификации), о подвидах дополнительного образования.</w:t>
      </w:r>
    </w:p>
    <w:p>
      <w:pPr>
        <w:pStyle w:val="Style10"/>
        <w:widowControl w:val="0"/>
        <w:keepNext w:val="0"/>
        <w:keepLines w:val="0"/>
        <w:shd w:val="clear" w:color="auto" w:fill="auto"/>
        <w:bidi w:val="0"/>
        <w:spacing w:before="0" w:after="0" w:line="274" w:lineRule="exact"/>
        <w:ind w:left="0" w:right="20" w:firstLine="700"/>
      </w:pPr>
      <w:r>
        <w:rPr>
          <w:lang w:val="ru-RU" w:eastAsia="ru-RU" w:bidi="ru-RU"/>
          <w:w w:val="100"/>
          <w:spacing w:val="0"/>
          <w:color w:val="000000"/>
          <w:position w:val="0"/>
        </w:rPr>
        <w:t>В соответствии с частью 2 статьи 10 Закона № 273-ФЗ образование подразделяется на общее образование, профессиональное образование, дополнительное образование и профессиональное обучение, обеспечивающие возможность реализации права на образование в течение всей жизни (непрерывное образование).</w:t>
      </w:r>
    </w:p>
    <w:p>
      <w:pPr>
        <w:pStyle w:val="Style10"/>
        <w:widowControl w:val="0"/>
        <w:keepNext w:val="0"/>
        <w:keepLines w:val="0"/>
        <w:shd w:val="clear" w:color="auto" w:fill="auto"/>
        <w:bidi w:val="0"/>
        <w:spacing w:before="0" w:after="0" w:line="274" w:lineRule="exact"/>
        <w:ind w:left="0" w:right="20" w:firstLine="700"/>
      </w:pPr>
      <w:r>
        <w:rPr>
          <w:lang w:val="ru-RU" w:eastAsia="ru-RU" w:bidi="ru-RU"/>
          <w:w w:val="100"/>
          <w:spacing w:val="0"/>
          <w:color w:val="000000"/>
          <w:position w:val="0"/>
        </w:rPr>
        <w:t>Согласно части 3 статьи 32 Закона № 273-ФЗ индивидуальные предприниматели осуществляют образовательную деятельность по основным и дополнительным общеобразовательным программам, программам профессионального обучения.</w:t>
      </w:r>
    </w:p>
    <w:p>
      <w:pPr>
        <w:pStyle w:val="Style10"/>
        <w:widowControl w:val="0"/>
        <w:keepNext w:val="0"/>
        <w:keepLines w:val="0"/>
        <w:shd w:val="clear" w:color="auto" w:fill="auto"/>
        <w:bidi w:val="0"/>
        <w:spacing w:before="0" w:after="0" w:line="274" w:lineRule="exact"/>
        <w:ind w:left="0" w:right="20" w:firstLine="700"/>
      </w:pPr>
      <w:r>
        <w:rPr>
          <w:lang w:val="ru-RU" w:eastAsia="ru-RU" w:bidi="ru-RU"/>
          <w:w w:val="100"/>
          <w:spacing w:val="0"/>
          <w:color w:val="000000"/>
          <w:position w:val="0"/>
        </w:rPr>
        <w:t xml:space="preserve">Как следует из аукционной документации, предметом аукциона является оказание </w:t>
      </w:r>
      <w:r>
        <w:rPr>
          <w:rStyle w:val="CharStyle13"/>
        </w:rPr>
        <w:t xml:space="preserve">образовательных услуг повышение квалификации </w:t>
      </w:r>
      <w:r>
        <w:rPr>
          <w:lang w:val="ru-RU" w:eastAsia="ru-RU" w:bidi="ru-RU"/>
          <w:w w:val="100"/>
          <w:spacing w:val="0"/>
          <w:color w:val="000000"/>
          <w:position w:val="0"/>
        </w:rPr>
        <w:t>среднего медицинского персонала (извещение № 0387200008720000191)</w:t>
      </w:r>
    </w:p>
    <w:p>
      <w:pPr>
        <w:pStyle w:val="Style10"/>
        <w:widowControl w:val="0"/>
        <w:keepNext w:val="0"/>
        <w:keepLines w:val="0"/>
        <w:shd w:val="clear" w:color="auto" w:fill="auto"/>
        <w:bidi w:val="0"/>
        <w:spacing w:before="0" w:after="0" w:line="274" w:lineRule="exact"/>
        <w:ind w:left="0" w:right="20" w:firstLine="700"/>
      </w:pPr>
      <w:r>
        <w:rPr>
          <w:lang w:val="ru-RU" w:eastAsia="ru-RU" w:bidi="ru-RU"/>
          <w:w w:val="100"/>
          <w:spacing w:val="0"/>
          <w:color w:val="000000"/>
          <w:position w:val="0"/>
        </w:rPr>
        <w:t xml:space="preserve">Комиссия Управления полагает, что аукционная комиссия электронного аукциона правомерно отклонила заявку (ИП Бондарева А.Ю.), поскольку в составе заявки отсутствовала копия лицензии на право ведения образовательной деятельности, которая должна быть выдана </w:t>
      </w:r>
      <w:r>
        <w:rPr>
          <w:rStyle w:val="CharStyle21"/>
        </w:rPr>
        <w:t xml:space="preserve">непосредственно </w:t>
      </w:r>
      <w:r>
        <w:rPr>
          <w:lang w:val="ru-RU" w:eastAsia="ru-RU" w:bidi="ru-RU"/>
          <w:w w:val="100"/>
          <w:spacing w:val="0"/>
          <w:color w:val="000000"/>
          <w:position w:val="0"/>
        </w:rPr>
        <w:t>участнику проводимой закупки (заявителю).</w:t>
      </w:r>
    </w:p>
    <w:p>
      <w:pPr>
        <w:pStyle w:val="Style10"/>
        <w:widowControl w:val="0"/>
        <w:keepNext w:val="0"/>
        <w:keepLines w:val="0"/>
        <w:shd w:val="clear" w:color="auto" w:fill="auto"/>
        <w:bidi w:val="0"/>
        <w:spacing w:before="0" w:after="0" w:line="274" w:lineRule="exact"/>
        <w:ind w:left="0" w:right="20" w:firstLine="700"/>
      </w:pPr>
      <w:r>
        <w:rPr>
          <w:lang w:val="ru-RU" w:eastAsia="ru-RU" w:bidi="ru-RU"/>
          <w:w w:val="100"/>
          <w:spacing w:val="0"/>
          <w:color w:val="000000"/>
          <w:position w:val="0"/>
        </w:rPr>
        <w:t>Согласно части 2 статьи 10 Закона об образовании, образование подразделяется на общее образование, профессиональное образование, дополнительное образование и профессиональное обучение.</w:t>
      </w:r>
    </w:p>
    <w:p>
      <w:pPr>
        <w:pStyle w:val="Style10"/>
        <w:widowControl w:val="0"/>
        <w:keepNext w:val="0"/>
        <w:keepLines w:val="0"/>
        <w:shd w:val="clear" w:color="auto" w:fill="auto"/>
        <w:bidi w:val="0"/>
        <w:spacing w:before="0" w:after="0" w:line="274" w:lineRule="exact"/>
        <w:ind w:left="0" w:right="20" w:firstLine="700"/>
      </w:pPr>
      <w:r>
        <w:rPr>
          <w:lang w:val="ru-RU" w:eastAsia="ru-RU" w:bidi="ru-RU"/>
          <w:w w:val="100"/>
          <w:spacing w:val="0"/>
          <w:color w:val="000000"/>
          <w:position w:val="0"/>
        </w:rPr>
        <w:t>В силу части 6 вышеуказанной статьи дополнительное образование включает в себя такие подвиды, как дополнительное образование детей и взрослых и дополнительное профессиональное образование.</w:t>
      </w:r>
    </w:p>
    <w:p>
      <w:pPr>
        <w:pStyle w:val="Style10"/>
        <w:widowControl w:val="0"/>
        <w:keepNext w:val="0"/>
        <w:keepLines w:val="0"/>
        <w:shd w:val="clear" w:color="auto" w:fill="auto"/>
        <w:bidi w:val="0"/>
        <w:spacing w:before="0" w:after="0" w:line="274" w:lineRule="exact"/>
        <w:ind w:left="0" w:right="20" w:firstLine="700"/>
      </w:pPr>
      <w:r>
        <w:rPr>
          <w:lang w:val="ru-RU" w:eastAsia="ru-RU" w:bidi="ru-RU"/>
          <w:w w:val="100"/>
          <w:spacing w:val="0"/>
          <w:color w:val="000000"/>
          <w:position w:val="0"/>
        </w:rPr>
        <w:t>В свою очередь частью 2 статьи 12 Закона об образовании установлено, что в Российской Федерации по уровням общего и профессионального образования, по профессиональному обучению реализуются основные образовательные программы, по дополнительному образованию - дополнительные образовательные программы.</w:t>
      </w:r>
    </w:p>
    <w:p>
      <w:pPr>
        <w:pStyle w:val="Style10"/>
        <w:widowControl w:val="0"/>
        <w:keepNext w:val="0"/>
        <w:keepLines w:val="0"/>
        <w:shd w:val="clear" w:color="auto" w:fill="auto"/>
        <w:bidi w:val="0"/>
        <w:spacing w:before="0" w:after="0" w:line="274" w:lineRule="exact"/>
        <w:ind w:left="0" w:right="20" w:firstLine="700"/>
      </w:pPr>
      <w:r>
        <w:rPr>
          <w:lang w:val="ru-RU" w:eastAsia="ru-RU" w:bidi="ru-RU"/>
          <w:w w:val="100"/>
          <w:spacing w:val="0"/>
          <w:color w:val="000000"/>
          <w:position w:val="0"/>
        </w:rPr>
        <w:t>Так в силу части 4 статьи 12 Закона об образовании к дополнительным образовательным программам относятся:</w:t>
      </w:r>
    </w:p>
    <w:p>
      <w:pPr>
        <w:pStyle w:val="Style10"/>
        <w:numPr>
          <w:ilvl w:val="0"/>
          <w:numId w:val="7"/>
        </w:numPr>
        <w:widowControl w:val="0"/>
        <w:keepNext w:val="0"/>
        <w:keepLines w:val="0"/>
        <w:shd w:val="clear" w:color="auto" w:fill="auto"/>
        <w:bidi w:val="0"/>
        <w:spacing w:before="0" w:after="0" w:line="274" w:lineRule="exact"/>
        <w:ind w:left="0" w:right="20" w:firstLine="700"/>
      </w:pPr>
      <w:r>
        <w:rPr>
          <w:lang w:val="ru-RU" w:eastAsia="ru-RU" w:bidi="ru-RU"/>
          <w:w w:val="100"/>
          <w:spacing w:val="0"/>
          <w:color w:val="000000"/>
          <w:position w:val="0"/>
        </w:rPr>
        <w:t xml:space="preserve"> дополнительные общеобразовательные программы - дополнительные общеразвивающие программы, дополнительные предпрофессиональные программы;</w:t>
      </w:r>
    </w:p>
    <w:p>
      <w:pPr>
        <w:pStyle w:val="Style10"/>
        <w:numPr>
          <w:ilvl w:val="0"/>
          <w:numId w:val="7"/>
        </w:numPr>
        <w:widowControl w:val="0"/>
        <w:keepNext w:val="0"/>
        <w:keepLines w:val="0"/>
        <w:shd w:val="clear" w:color="auto" w:fill="auto"/>
        <w:bidi w:val="0"/>
        <w:spacing w:before="0" w:after="0" w:line="274" w:lineRule="exact"/>
        <w:ind w:left="0" w:right="20" w:firstLine="700"/>
      </w:pPr>
      <w:r>
        <w:rPr>
          <w:lang w:val="ru-RU" w:eastAsia="ru-RU" w:bidi="ru-RU"/>
          <w:w w:val="100"/>
          <w:spacing w:val="0"/>
          <w:color w:val="000000"/>
          <w:position w:val="0"/>
        </w:rPr>
        <w:t xml:space="preserve"> дополнительные профессиональные программы - программы повышения квалификации, программы профессиональной переподготовки.</w:t>
      </w:r>
    </w:p>
    <w:p>
      <w:pPr>
        <w:pStyle w:val="Style10"/>
        <w:widowControl w:val="0"/>
        <w:keepNext w:val="0"/>
        <w:keepLines w:val="0"/>
        <w:shd w:val="clear" w:color="auto" w:fill="auto"/>
        <w:bidi w:val="0"/>
        <w:spacing w:before="0" w:after="0" w:line="274" w:lineRule="exact"/>
        <w:ind w:left="0" w:right="20" w:firstLine="700"/>
      </w:pPr>
      <w:r>
        <w:rPr>
          <w:lang w:val="ru-RU" w:eastAsia="ru-RU" w:bidi="ru-RU"/>
          <w:w w:val="100"/>
          <w:spacing w:val="0"/>
          <w:color w:val="000000"/>
          <w:position w:val="0"/>
        </w:rPr>
        <w:t>Частью 1 статьи 32 Закона об образовании установлено, что индивидуальный предприниматель осуществляет образовательную деятельность непосредственно или с привлечением педагогических работников.</w:t>
      </w:r>
    </w:p>
    <w:p>
      <w:pPr>
        <w:pStyle w:val="Style10"/>
        <w:widowControl w:val="0"/>
        <w:keepNext w:val="0"/>
        <w:keepLines w:val="0"/>
        <w:shd w:val="clear" w:color="auto" w:fill="auto"/>
        <w:bidi w:val="0"/>
        <w:spacing w:before="0" w:after="0" w:line="274" w:lineRule="exact"/>
        <w:ind w:left="0" w:right="20" w:firstLine="700"/>
      </w:pPr>
      <w:r>
        <w:rPr>
          <w:lang w:val="ru-RU" w:eastAsia="ru-RU" w:bidi="ru-RU"/>
          <w:w w:val="100"/>
          <w:spacing w:val="0"/>
          <w:color w:val="000000"/>
          <w:position w:val="0"/>
        </w:rPr>
        <w:t>Вместе с тем, в силу части 3 статьи 32 Закона об образовании индивидуальные предприниматели осуществляют образовательную деятельность по основным и дополнительным общеобразовательным программам, программам профессионального обучения. В силу части 5 статьи 32 Закона об образовании при осуществлении индивидуальным предпринимателем образовательной деятельности с привлечением педагогических работников им также предоставляется информация о лицензии на осуществление образовательной деятельности.</w:t>
      </w:r>
    </w:p>
    <w:p>
      <w:pPr>
        <w:pStyle w:val="Style10"/>
        <w:tabs>
          <w:tab w:leader="none" w:pos="6395" w:val="left"/>
          <w:tab w:leader="none" w:pos="6892" w:val="left"/>
        </w:tabs>
        <w:widowControl w:val="0"/>
        <w:keepNext w:val="0"/>
        <w:keepLines w:val="0"/>
        <w:shd w:val="clear" w:color="auto" w:fill="auto"/>
        <w:bidi w:val="0"/>
        <w:spacing w:before="0" w:after="0" w:line="274" w:lineRule="exact"/>
        <w:ind w:left="0" w:right="0" w:firstLine="700"/>
      </w:pPr>
      <w:r>
        <w:rPr>
          <w:lang w:val="ru-RU" w:eastAsia="ru-RU" w:bidi="ru-RU"/>
          <w:w w:val="100"/>
          <w:spacing w:val="0"/>
          <w:color w:val="000000"/>
          <w:position w:val="0"/>
        </w:rPr>
        <w:t>Письмом Минобрнауки России от 09.10.2013</w:t>
        <w:tab/>
        <w:t>№</w:t>
        <w:tab/>
        <w:t>06-735 «О дополнительном</w:t>
      </w:r>
    </w:p>
    <w:p>
      <w:pPr>
        <w:pStyle w:val="Style10"/>
        <w:widowControl w:val="0"/>
        <w:keepNext w:val="0"/>
        <w:keepLines w:val="0"/>
        <w:shd w:val="clear" w:color="auto" w:fill="auto"/>
        <w:bidi w:val="0"/>
        <w:spacing w:before="0" w:after="0" w:line="274" w:lineRule="exact"/>
        <w:ind w:left="0" w:right="20" w:firstLine="0"/>
      </w:pPr>
      <w:r>
        <w:rPr>
          <w:lang w:val="ru-RU" w:eastAsia="ru-RU" w:bidi="ru-RU"/>
          <w:w w:val="100"/>
          <w:spacing w:val="0"/>
          <w:color w:val="000000"/>
          <w:position w:val="0"/>
        </w:rPr>
        <w:t xml:space="preserve">профессиональном образовании», разъяснено, что индивидуальные предприниматели могут осуществлять образовательную деятельность только по основным и дополнительным общеобразовательным программам, и программам профессионального обучения (часть 3 статьи 32 Закона об образовании). Реализация дополнительных профессиональных программ индивидуальными предпринимателями Закона об образовании </w:t>
      </w:r>
      <w:r>
        <w:rPr>
          <w:rStyle w:val="CharStyle13"/>
        </w:rPr>
        <w:t>не предусматривается.</w:t>
      </w:r>
    </w:p>
    <w:p>
      <w:pPr>
        <w:pStyle w:val="Style10"/>
        <w:widowControl w:val="0"/>
        <w:keepNext w:val="0"/>
        <w:keepLines w:val="0"/>
        <w:shd w:val="clear" w:color="auto" w:fill="auto"/>
        <w:bidi w:val="0"/>
        <w:spacing w:before="0" w:after="0" w:line="274" w:lineRule="exact"/>
        <w:ind w:left="0" w:right="20" w:firstLine="700"/>
      </w:pPr>
      <w:r>
        <w:rPr>
          <w:lang w:val="ru-RU" w:eastAsia="ru-RU" w:bidi="ru-RU"/>
          <w:w w:val="100"/>
          <w:spacing w:val="0"/>
          <w:color w:val="000000"/>
          <w:position w:val="0"/>
        </w:rPr>
        <w:t>Указанная позиция находит свое подтверждение в решении Арбитражного суда Республики Коми от 17.06.2020 по делу № А29-18027/2019 и Постановлении Второго арбитражного апелляционного суда от 01.09.2020 № 02АП-4913/2020 по делу № А29-18027/2019.</w:t>
      </w:r>
    </w:p>
    <w:p>
      <w:pPr>
        <w:pStyle w:val="Style10"/>
        <w:widowControl w:val="0"/>
        <w:keepNext w:val="0"/>
        <w:keepLines w:val="0"/>
        <w:shd w:val="clear" w:color="auto" w:fill="auto"/>
        <w:bidi w:val="0"/>
        <w:spacing w:before="0" w:after="0" w:line="274" w:lineRule="exact"/>
        <w:ind w:left="0" w:right="20" w:firstLine="700"/>
      </w:pPr>
      <w:r>
        <w:rPr>
          <w:lang w:val="ru-RU" w:eastAsia="ru-RU" w:bidi="ru-RU"/>
          <w:w w:val="100"/>
          <w:spacing w:val="0"/>
          <w:color w:val="000000"/>
          <w:position w:val="0"/>
        </w:rPr>
        <w:t>Помимо этого, по результатам обучения лицам, успешно освоившим образовательную программу и прошедшим итоговую аттестацию, выдаются документы установленного образца - удостоверение о повышении квалификации и (или) диплом о профессиональной переподготовке - по программам дополнительного профессионального образования.</w:t>
      </w:r>
    </w:p>
    <w:p>
      <w:pPr>
        <w:pStyle w:val="Style10"/>
        <w:widowControl w:val="0"/>
        <w:keepNext w:val="0"/>
        <w:keepLines w:val="0"/>
        <w:shd w:val="clear" w:color="auto" w:fill="auto"/>
        <w:bidi w:val="0"/>
        <w:spacing w:before="0" w:after="0" w:line="274" w:lineRule="exact"/>
        <w:ind w:left="20" w:right="40" w:firstLine="700"/>
      </w:pPr>
      <w:r>
        <w:rPr>
          <w:lang w:val="ru-RU" w:eastAsia="ru-RU" w:bidi="ru-RU"/>
          <w:w w:val="100"/>
          <w:spacing w:val="0"/>
          <w:color w:val="000000"/>
          <w:position w:val="0"/>
        </w:rPr>
        <w:t>Согласно части 10 статьи 60 Закона об образовании, документ о квалификации подтверждает повышение или присвоение квалификации по результатам дополнительного профессионального образования (подтверждается удостоверением о повышении квалификации или дипломом о профессиональной переподготовке).</w:t>
      </w:r>
    </w:p>
    <w:p>
      <w:pPr>
        <w:pStyle w:val="Style10"/>
        <w:widowControl w:val="0"/>
        <w:keepNext w:val="0"/>
        <w:keepLines w:val="0"/>
        <w:shd w:val="clear" w:color="auto" w:fill="auto"/>
        <w:bidi w:val="0"/>
        <w:spacing w:before="0" w:after="0" w:line="274" w:lineRule="exact"/>
        <w:ind w:left="20" w:right="40" w:firstLine="700"/>
      </w:pPr>
      <w:r>
        <w:rPr>
          <w:lang w:val="ru-RU" w:eastAsia="ru-RU" w:bidi="ru-RU"/>
          <w:w w:val="100"/>
          <w:spacing w:val="0"/>
          <w:color w:val="000000"/>
          <w:position w:val="0"/>
        </w:rPr>
        <w:t>Таким образом, из смысла положений пункта 20 статьи 2, пункта 1 части 1, части 3, 10, 12 статьи 60 Закона об образовании следует, что предмет закупки подпадает под лицензирование, так как организация выдает обучающимся при успешном завершении учебы (прохождении итоговой аттестации) - документ о квалификации (удостоверение о повышении квалификации или диплом о профессиональной переподготовке). Данные документы выпускаются изготовителями защищенной полиграфической продукции на специальных бланках, защищенных от подделок (Письмо Минобрнауки России от 02.09.2013 № АК-1879/06 «О документах о квалификации»).</w:t>
      </w:r>
    </w:p>
    <w:p>
      <w:pPr>
        <w:pStyle w:val="Style10"/>
        <w:widowControl w:val="0"/>
        <w:keepNext w:val="0"/>
        <w:keepLines w:val="0"/>
        <w:shd w:val="clear" w:color="auto" w:fill="auto"/>
        <w:bidi w:val="0"/>
        <w:spacing w:before="0" w:after="0" w:line="274" w:lineRule="exact"/>
        <w:ind w:left="20" w:right="40" w:firstLine="700"/>
      </w:pPr>
      <w:r>
        <w:rPr>
          <w:lang w:val="ru-RU" w:eastAsia="ru-RU" w:bidi="ru-RU"/>
          <w:w w:val="100"/>
          <w:spacing w:val="0"/>
          <w:color w:val="000000"/>
          <w:position w:val="0"/>
        </w:rPr>
        <w:t xml:space="preserve">Комиссия также находит необоснованным довод заявителя о том, что аукционной документацией привлечение соисполнителей не запрещено, поскольку представленные в составе аукционной документации проект контракта и техническое задание предполагают </w:t>
      </w:r>
      <w:r>
        <w:rPr>
          <w:rStyle w:val="CharStyle13"/>
        </w:rPr>
        <w:t>личное исполнение контракта, без привлечения соисполнителей.</w:t>
      </w:r>
    </w:p>
    <w:p>
      <w:pPr>
        <w:pStyle w:val="Style10"/>
        <w:widowControl w:val="0"/>
        <w:keepNext w:val="0"/>
        <w:keepLines w:val="0"/>
        <w:shd w:val="clear" w:color="auto" w:fill="auto"/>
        <w:bidi w:val="0"/>
        <w:spacing w:before="0" w:after="180" w:line="274" w:lineRule="exact"/>
        <w:ind w:left="20" w:right="40" w:firstLine="700"/>
      </w:pPr>
      <w:r>
        <w:rPr>
          <w:lang w:val="ru-RU" w:eastAsia="ru-RU" w:bidi="ru-RU"/>
          <w:w w:val="100"/>
          <w:spacing w:val="0"/>
          <w:color w:val="000000"/>
          <w:position w:val="0"/>
        </w:rPr>
        <w:t>На основании вышеизложенного Комиссия Управления не усматривает нарушения норм Закона о контрактной системе Заказчиком. Следовательно, довод Заявителя является необоснованным.</w:t>
      </w:r>
    </w:p>
    <w:p>
      <w:pPr>
        <w:pStyle w:val="Style10"/>
        <w:tabs>
          <w:tab w:leader="none" w:pos="7020" w:val="left"/>
          <w:tab w:leader="none" w:pos="8651" w:val="right"/>
          <w:tab w:leader="none" w:pos="10099" w:val="right"/>
        </w:tabs>
        <w:widowControl w:val="0"/>
        <w:keepNext w:val="0"/>
        <w:keepLines w:val="0"/>
        <w:shd w:val="clear" w:color="auto" w:fill="auto"/>
        <w:bidi w:val="0"/>
        <w:spacing w:before="0" w:after="0" w:line="274" w:lineRule="exact"/>
        <w:ind w:left="20" w:right="40" w:firstLine="700"/>
      </w:pPr>
      <w:r>
        <w:rPr>
          <w:lang w:val="ru-RU" w:eastAsia="ru-RU" w:bidi="ru-RU"/>
          <w:w w:val="100"/>
          <w:spacing w:val="0"/>
          <w:color w:val="000000"/>
          <w:position w:val="0"/>
        </w:rPr>
        <w:t>Жалоба ИП Бондарев Андрей Юрьевич (ИНН 2313041 10315 ОГРНИП: 320508100399470) от 04.02.2021 №215-ж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w:t>
        <w:tab/>
        <w:t>площадки</w:t>
        <w:tab/>
        <w:t>при</w:t>
        <w:tab/>
        <w:t>определении</w:t>
      </w:r>
    </w:p>
    <w:p>
      <w:pPr>
        <w:pStyle w:val="Style10"/>
        <w:widowControl w:val="0"/>
        <w:keepNext w:val="0"/>
        <w:keepLines w:val="0"/>
        <w:shd w:val="clear" w:color="auto" w:fill="auto"/>
        <w:bidi w:val="0"/>
        <w:spacing w:before="0" w:after="0" w:line="274" w:lineRule="exact"/>
        <w:ind w:left="20" w:right="40" w:firstLine="0"/>
      </w:pPr>
      <w:r>
        <w:rPr>
          <w:lang w:val="ru-RU" w:eastAsia="ru-RU" w:bidi="ru-RU"/>
          <w:w w:val="100"/>
          <w:spacing w:val="0"/>
          <w:color w:val="000000"/>
          <w:position w:val="0"/>
        </w:rPr>
        <w:t>поставщиков (подрядчиков, исполнителей) для обеспечения государственных и муниципальных нужд.</w:t>
      </w:r>
    </w:p>
    <w:p>
      <w:pPr>
        <w:pStyle w:val="Style10"/>
        <w:widowControl w:val="0"/>
        <w:keepNext w:val="0"/>
        <w:keepLines w:val="0"/>
        <w:shd w:val="clear" w:color="auto" w:fill="auto"/>
        <w:bidi w:val="0"/>
        <w:spacing w:before="0" w:after="231" w:line="274" w:lineRule="exact"/>
        <w:ind w:left="20" w:right="40" w:firstLine="7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22"/>
        <w:widowControl w:val="0"/>
        <w:keepNext/>
        <w:keepLines/>
        <w:shd w:val="clear" w:color="auto" w:fill="auto"/>
        <w:bidi w:val="0"/>
        <w:spacing w:before="0" w:after="92" w:line="210" w:lineRule="exact"/>
        <w:ind w:left="20" w:right="0" w:firstLine="0"/>
      </w:pPr>
      <w:bookmarkStart w:id="3" w:name="bookmark3"/>
      <w:r>
        <w:rPr>
          <w:lang w:val="ru-RU" w:eastAsia="ru-RU" w:bidi="ru-RU"/>
          <w:w w:val="100"/>
          <w:color w:val="000000"/>
          <w:position w:val="0"/>
        </w:rPr>
        <w:t>РЕШИЛА:</w:t>
      </w:r>
      <w:bookmarkEnd w:id="3"/>
    </w:p>
    <w:p>
      <w:pPr>
        <w:pStyle w:val="Style10"/>
        <w:numPr>
          <w:ilvl w:val="0"/>
          <w:numId w:val="9"/>
        </w:numPr>
        <w:tabs>
          <w:tab w:leader="none" w:pos="6954" w:val="right"/>
          <w:tab w:leader="none" w:pos="7097" w:val="left"/>
          <w:tab w:leader="none" w:pos="8651" w:val="right"/>
        </w:tabs>
        <w:widowControl w:val="0"/>
        <w:keepNext w:val="0"/>
        <w:keepLines w:val="0"/>
        <w:shd w:val="clear" w:color="auto" w:fill="auto"/>
        <w:bidi w:val="0"/>
        <w:spacing w:before="0" w:after="0" w:line="274" w:lineRule="exact"/>
        <w:ind w:left="20" w:right="40" w:firstLine="700"/>
      </w:pPr>
      <w:r>
        <w:rPr>
          <w:lang w:val="ru-RU" w:eastAsia="ru-RU" w:bidi="ru-RU"/>
          <w:w w:val="100"/>
          <w:spacing w:val="0"/>
          <w:color w:val="000000"/>
          <w:position w:val="0"/>
        </w:rPr>
        <w:t xml:space="preserve"> Признать жалобу ИП Бондарев Андрей Юрьевич (ИНН 2313041 10315 ОГРНИП: 320508100399470) от 04.02.2021 №215-ж на действия Заказчика — Бюджетное учреждение Ханты-Мансийского автономного округа - Югры «Советская психоневрологическая больница», при проведении электронного аукциона предметом, которого является оказание образовательных услуг</w:t>
        <w:tab/>
        <w:t>повышение квалификации среднего медицинского</w:t>
        <w:tab/>
        <w:t>персонала</w:t>
        <w:tab/>
        <w:t>(извещение №</w:t>
      </w:r>
    </w:p>
    <w:p>
      <w:pPr>
        <w:pStyle w:val="Style10"/>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0387200008720000191)необоснованной.</w:t>
      </w:r>
    </w:p>
    <w:p>
      <w:pPr>
        <w:pStyle w:val="Style10"/>
        <w:numPr>
          <w:ilvl w:val="0"/>
          <w:numId w:val="9"/>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Обязательно для исполнения предписание не выдавать.</w:t>
      </w:r>
    </w:p>
    <w:p>
      <w:pPr>
        <w:pStyle w:val="Style10"/>
        <w:numPr>
          <w:ilvl w:val="0"/>
          <w:numId w:val="9"/>
        </w:numPr>
        <w:tabs>
          <w:tab w:leader="none" w:pos="10099" w:val="right"/>
        </w:tabs>
        <w:widowControl w:val="0"/>
        <w:keepNext w:val="0"/>
        <w:keepLines w:val="0"/>
        <w:shd w:val="clear" w:color="auto" w:fill="auto"/>
        <w:bidi w:val="0"/>
        <w:spacing w:before="0" w:after="5" w:line="274" w:lineRule="exact"/>
        <w:ind w:left="20" w:right="0" w:firstLine="700"/>
      </w:pPr>
      <w:r>
        <w:rPr>
          <w:lang w:val="ru-RU" w:eastAsia="ru-RU" w:bidi="ru-RU"/>
          <w:w w:val="100"/>
          <w:spacing w:val="0"/>
          <w:color w:val="000000"/>
          <w:position w:val="0"/>
        </w:rPr>
        <w:t xml:space="preserve"> Направить данное решение сторонам и опубликовать на официальном</w:t>
        <w:tab/>
        <w:t>сайте единой</w:t>
      </w:r>
    </w:p>
    <w:sectPr>
      <w:type w:val="continuous"/>
      <w:pgSz w:w="11906" w:h="16838"/>
      <w:pgMar w:top="685" w:left="874" w:right="895" w:bottom="97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rFonts w:ascii="Times New Roman" w:eastAsia="Times New Roman" w:hAnsi="Times New Roman" w:cs="Times New Roman"/>
      <w:spacing w:val="20"/>
    </w:rPr>
  </w:style>
  <w:style w:type="character" w:customStyle="1" w:styleId="CharStyle8">
    <w:name w:val="Основной текст (3)_"/>
    <w:basedOn w:val="DefaultParagraphFont"/>
    <w:link w:val="Style7"/>
    <w:rPr>
      <w:b w:val="0"/>
      <w:bCs w:val="0"/>
      <w:i w:val="0"/>
      <w:iCs w:val="0"/>
      <w:u w:val="none"/>
      <w:strike w:val="0"/>
      <w:smallCaps w:val="0"/>
      <w:sz w:val="17"/>
      <w:szCs w:val="17"/>
      <w:rFonts w:ascii="Times New Roman" w:eastAsia="Times New Roman" w:hAnsi="Times New Roman" w:cs="Times New Roman"/>
      <w:spacing w:val="10"/>
    </w:rPr>
  </w:style>
  <w:style w:type="character" w:customStyle="1" w:styleId="CharStyle9">
    <w:name w:val="Основной текст (3)"/>
    <w:basedOn w:val="CharStyle8"/>
    <w:rPr>
      <w:lang w:val="en-US" w:eastAsia="en-US" w:bidi="en-US"/>
      <w:u w:val="single"/>
      <w:w w:val="10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sz w:val="21"/>
      <w:szCs w:val="21"/>
      <w:rFonts w:ascii="Times New Roman" w:eastAsia="Times New Roman" w:hAnsi="Times New Roman" w:cs="Times New Roman"/>
    </w:rPr>
  </w:style>
  <w:style w:type="character" w:customStyle="1" w:styleId="CharStyle12">
    <w:name w:val="Основной текст"/>
    <w:basedOn w:val="CharStyle11"/>
    <w:rPr>
      <w:lang w:val="en-US" w:eastAsia="en-US" w:bidi="en-US"/>
      <w:u w:val="single"/>
      <w:w w:val="100"/>
      <w:spacing w:val="0"/>
      <w:color w:val="000000"/>
      <w:position w:val="0"/>
    </w:rPr>
  </w:style>
  <w:style w:type="character" w:customStyle="1" w:styleId="CharStyle13">
    <w:name w:val="Основной текст + Полужирный"/>
    <w:basedOn w:val="CharStyle11"/>
    <w:rPr>
      <w:lang w:val="ru-RU" w:eastAsia="ru-RU" w:bidi="ru-RU"/>
      <w:b/>
      <w:bCs/>
      <w:w w:val="100"/>
      <w:spacing w:val="0"/>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rFonts w:ascii="Constantia" w:eastAsia="Constantia" w:hAnsi="Constantia" w:cs="Constantia"/>
    </w:rPr>
  </w:style>
  <w:style w:type="character" w:customStyle="1" w:styleId="CharStyle16">
    <w:name w:val="Основной текст (2) + Не полужирный"/>
    <w:basedOn w:val="CharStyle4"/>
    <w:rPr>
      <w:lang w:val="ru-RU" w:eastAsia="ru-RU" w:bidi="ru-RU"/>
      <w:b/>
      <w:bCs/>
      <w:w w:val="100"/>
      <w:spacing w:val="0"/>
      <w:color w:val="000000"/>
      <w:position w:val="0"/>
    </w:rPr>
  </w:style>
  <w:style w:type="character" w:customStyle="1" w:styleId="CharStyle18">
    <w:name w:val="Заголовок №2_"/>
    <w:basedOn w:val="DefaultParagraphFont"/>
    <w:link w:val="Style17"/>
    <w:rPr>
      <w:b w:val="0"/>
      <w:bCs w:val="0"/>
      <w:i w:val="0"/>
      <w:iCs w:val="0"/>
      <w:u w:val="none"/>
      <w:strike w:val="0"/>
      <w:smallCaps w:val="0"/>
      <w:sz w:val="22"/>
      <w:szCs w:val="22"/>
      <w:rFonts w:ascii="Calibri" w:eastAsia="Calibri" w:hAnsi="Calibri" w:cs="Calibri"/>
    </w:rPr>
  </w:style>
  <w:style w:type="character" w:customStyle="1" w:styleId="CharStyle20">
    <w:name w:val="Заголовок №4_"/>
    <w:basedOn w:val="DefaultParagraphFont"/>
    <w:link w:val="Style19"/>
    <w:rPr>
      <w:b/>
      <w:bCs/>
      <w:i w:val="0"/>
      <w:iCs w:val="0"/>
      <w:u w:val="none"/>
      <w:strike w:val="0"/>
      <w:smallCaps w:val="0"/>
      <w:sz w:val="21"/>
      <w:szCs w:val="21"/>
      <w:rFonts w:ascii="Times New Roman" w:eastAsia="Times New Roman" w:hAnsi="Times New Roman" w:cs="Times New Roman"/>
    </w:rPr>
  </w:style>
  <w:style w:type="character" w:customStyle="1" w:styleId="CharStyle21">
    <w:name w:val="Основной текст + Полужирный"/>
    <w:basedOn w:val="CharStyle11"/>
    <w:rPr>
      <w:lang w:val="ru-RU" w:eastAsia="ru-RU" w:bidi="ru-RU"/>
      <w:b/>
      <w:bCs/>
      <w:w w:val="100"/>
      <w:spacing w:val="0"/>
      <w:color w:val="000000"/>
      <w:position w:val="0"/>
    </w:rPr>
  </w:style>
  <w:style w:type="character" w:customStyle="1" w:styleId="CharStyle23">
    <w:name w:val="Заголовок №3_"/>
    <w:basedOn w:val="DefaultParagraphFont"/>
    <w:link w:val="Style22"/>
    <w:rPr>
      <w:b/>
      <w:bCs/>
      <w:i w:val="0"/>
      <w:iCs w:val="0"/>
      <w:u w:val="none"/>
      <w:strike w:val="0"/>
      <w:smallCaps w:val="0"/>
      <w:sz w:val="21"/>
      <w:szCs w:val="21"/>
      <w:rFonts w:ascii="Times New Roman" w:eastAsia="Times New Roman" w:hAnsi="Times New Roman" w:cs="Times New Roman"/>
      <w:spacing w:val="10"/>
    </w:rPr>
  </w:style>
  <w:style w:type="paragraph" w:customStyle="1" w:styleId="Style3">
    <w:name w:val="Основной текст (2)"/>
    <w:basedOn w:val="Normal"/>
    <w:link w:val="CharStyle4"/>
    <w:pPr>
      <w:widowControl w:val="0"/>
      <w:shd w:val="clear" w:color="auto" w:fill="FFFFFF"/>
      <w:jc w:val="center"/>
      <w:spacing w:before="60" w:after="60" w:line="274"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60" w:after="60" w:line="0" w:lineRule="exact"/>
    </w:pPr>
    <w:rPr>
      <w:b/>
      <w:bCs/>
      <w:i w:val="0"/>
      <w:iCs w:val="0"/>
      <w:u w:val="none"/>
      <w:strike w:val="0"/>
      <w:smallCaps w:val="0"/>
      <w:rFonts w:ascii="Times New Roman" w:eastAsia="Times New Roman" w:hAnsi="Times New Roman" w:cs="Times New Roman"/>
      <w:spacing w:val="20"/>
    </w:rPr>
  </w:style>
  <w:style w:type="paragraph" w:customStyle="1" w:styleId="Style7">
    <w:name w:val="Основной текст (3)"/>
    <w:basedOn w:val="Normal"/>
    <w:link w:val="CharStyle8"/>
    <w:pPr>
      <w:widowControl w:val="0"/>
      <w:shd w:val="clear" w:color="auto" w:fill="FFFFFF"/>
      <w:jc w:val="center"/>
      <w:spacing w:before="60" w:after="240" w:line="230" w:lineRule="exact"/>
    </w:pPr>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10">
    <w:name w:val="Основной текст"/>
    <w:basedOn w:val="Normal"/>
    <w:link w:val="CharStyle11"/>
    <w:pPr>
      <w:widowControl w:val="0"/>
      <w:shd w:val="clear" w:color="auto" w:fill="FFFFFF"/>
      <w:jc w:val="both"/>
      <w:spacing w:before="24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both"/>
      <w:spacing w:line="274" w:lineRule="exact"/>
      <w:ind w:firstLine="700"/>
    </w:pPr>
    <w:rPr>
      <w:b w:val="0"/>
      <w:bCs w:val="0"/>
      <w:i w:val="0"/>
      <w:iCs w:val="0"/>
      <w:u w:val="none"/>
      <w:strike w:val="0"/>
      <w:smallCaps w:val="0"/>
      <w:rFonts w:ascii="Constantia" w:eastAsia="Constantia" w:hAnsi="Constantia" w:cs="Constantia"/>
    </w:rPr>
  </w:style>
  <w:style w:type="paragraph" w:customStyle="1" w:styleId="Style17">
    <w:name w:val="Заголовок №2"/>
    <w:basedOn w:val="Normal"/>
    <w:link w:val="CharStyle18"/>
    <w:pPr>
      <w:widowControl w:val="0"/>
      <w:shd w:val="clear" w:color="auto" w:fill="FFFFFF"/>
      <w:jc w:val="both"/>
      <w:outlineLvl w:val="1"/>
      <w:spacing w:line="274" w:lineRule="exact"/>
      <w:ind w:firstLine="700"/>
    </w:pPr>
    <w:rPr>
      <w:b w:val="0"/>
      <w:bCs w:val="0"/>
      <w:i w:val="0"/>
      <w:iCs w:val="0"/>
      <w:u w:val="none"/>
      <w:strike w:val="0"/>
      <w:smallCaps w:val="0"/>
      <w:sz w:val="22"/>
      <w:szCs w:val="22"/>
      <w:rFonts w:ascii="Calibri" w:eastAsia="Calibri" w:hAnsi="Calibri" w:cs="Calibri"/>
    </w:rPr>
  </w:style>
  <w:style w:type="paragraph" w:customStyle="1" w:styleId="Style19">
    <w:name w:val="Заголовок №4"/>
    <w:basedOn w:val="Normal"/>
    <w:link w:val="CharStyle20"/>
    <w:pPr>
      <w:widowControl w:val="0"/>
      <w:shd w:val="clear" w:color="auto" w:fill="FFFFFF"/>
      <w:jc w:val="both"/>
      <w:outlineLvl w:val="3"/>
      <w:spacing w:line="274" w:lineRule="exact"/>
      <w:ind w:firstLine="700"/>
    </w:pPr>
    <w:rPr>
      <w:b/>
      <w:bCs/>
      <w:i w:val="0"/>
      <w:iCs w:val="0"/>
      <w:u w:val="none"/>
      <w:strike w:val="0"/>
      <w:smallCaps w:val="0"/>
      <w:sz w:val="21"/>
      <w:szCs w:val="21"/>
      <w:rFonts w:ascii="Times New Roman" w:eastAsia="Times New Roman" w:hAnsi="Times New Roman" w:cs="Times New Roman"/>
    </w:rPr>
  </w:style>
  <w:style w:type="paragraph" w:customStyle="1" w:styleId="Style22">
    <w:name w:val="Заголовок №3"/>
    <w:basedOn w:val="Normal"/>
    <w:link w:val="CharStyle23"/>
    <w:pPr>
      <w:widowControl w:val="0"/>
      <w:shd w:val="clear" w:color="auto" w:fill="FFFFFF"/>
      <w:jc w:val="center"/>
      <w:outlineLvl w:val="2"/>
      <w:spacing w:before="180" w:after="180" w:line="0" w:lineRule="exact"/>
    </w:pPr>
    <w:rPr>
      <w:b/>
      <w:bCs/>
      <w:i w:val="0"/>
      <w:iCs w:val="0"/>
      <w:u w:val="none"/>
      <w:strike w:val="0"/>
      <w:smallCaps w:val="0"/>
      <w:sz w:val="21"/>
      <w:szCs w:val="21"/>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