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" w:line="190" w:lineRule="exact"/>
        <w:ind w:left="0" w:right="0" w:firstLine="0"/>
      </w:pPr>
      <w:r>
        <w:rPr>
          <w:rStyle w:val="CharStyle5"/>
        </w:rPr>
        <w:t>Заявитель: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78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174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768" w:left="8597" w:right="3043" w:bottom="37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656016, Алтайский край, город Барнаул, Власихинская улица, дом 49/1, офис 141</w:t>
      </w: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170" w:wrap="around" w:vAnchor="text" w:hAnchor="margin" w:x="2519" w:y="307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  <w:b/>
          <w:bCs/>
        </w:rPr>
        <w:t>ФЕДЕРАЛЬНАЯ АНТИМОНОПОЛЬНАЯ СЛУЖБА УПРАВЛЕНИЕ Федеральной антимонопольной службы по Томской области</w:t>
      </w:r>
    </w:p>
    <w:p>
      <w:pPr>
        <w:pStyle w:val="Style13"/>
        <w:tabs>
          <w:tab w:leader="none" w:pos="956" w:val="right"/>
          <w:tab w:leader="none" w:pos="750" w:val="right"/>
          <w:tab w:leader="none" w:pos="798" w:val="right"/>
          <w:tab w:leader="none" w:pos="956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’ -1! I !•' '</w:t>
        <w:tab/>
        <w:t>;!</w:t>
        <w:tab/>
        <w:t>!</w:t>
        <w:tab/>
        <w:t>-</w:t>
        <w:tab/>
      </w:r>
      <w:r>
        <w:rPr>
          <w:rStyle w:val="CharStyle15"/>
          <w:vertAlign w:val="superscript"/>
        </w:rPr>
        <w:t>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599" w:line="264" w:lineRule="exact"/>
        <w:ind w:left="0" w:right="0" w:firstLine="0"/>
      </w:pPr>
      <w:r>
        <w:rPr>
          <w:rStyle w:val="CharStyle16"/>
        </w:rPr>
        <w:t xml:space="preserve">пр. Ленина, 111, г. Томск, 634069 тел./факс (3822) 51-29-80 </w:t>
      </w:r>
      <w:r>
        <w:rPr>
          <w:rStyle w:val="CharStyle1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7"/>
        </w:rPr>
        <w:instrText> HYPERLINK "mailto:to70@fas.gov.ru" </w:instrText>
      </w:r>
      <w:r>
        <w:fldChar w:fldCharType="separate"/>
      </w:r>
      <w:r>
        <w:rPr>
          <w:rStyle w:val="Hyperlink"/>
        </w:rPr>
        <w:t>to70@fas.gov.ru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20" w:right="0" w:firstLine="0"/>
      </w:pPr>
      <w:r>
        <w:rPr>
          <w:rStyle w:val="CharStyle16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0" w:firstLine="0"/>
      </w:pPr>
      <w:r>
        <w:rPr>
          <w:rStyle w:val="CharStyle5"/>
        </w:rPr>
        <w:t>Заказчик: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Департамент дорожной деятельности и благоустройства администрации Города Томска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]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| </w:t>
      </w:r>
      <w:r>
        <w:rPr>
          <w:rStyle w:val="CharStyle20"/>
          <w:b w:val="0"/>
          <w:bCs w:val="0"/>
        </w:rPr>
        <w:t>•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5" w:line="19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634050, г. Томск, ул. Московский тракт, 19/1,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44" w:line="23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}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0" w:firstLine="0"/>
      </w:pPr>
      <w:r>
        <w:rPr>
          <w:rStyle w:val="CharStyle5"/>
        </w:rPr>
        <w:t>Уполномоченный орган: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муниципального заказа и тарифной политики Администрации Г орода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Томска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190" w:lineRule="exact"/>
        <w:ind w:left="0" w:right="20" w:firstLine="0"/>
        <w:sectPr>
          <w:type w:val="continuous"/>
          <w:pgSz w:w="16838" w:h="23810"/>
          <w:pgMar w:top="3753" w:left="3444" w:right="3118" w:bottom="3777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адрес: 634009, г. Томск, пер. Сакко, д. 2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3768" w:left="3086" w:right="13444" w:bottom="37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I!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0" w:after="6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342" w:h="377" w:wrap="around" w:vAnchor="text" w:hAnchor="margin" w:x="-1717" w:y="122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8"/>
          <w:spacing w:val="0"/>
        </w:rPr>
        <w:t>Т г</w:t>
      </w:r>
    </w:p>
    <w:p>
      <w:pPr>
        <w:pStyle w:val="Style6"/>
        <w:framePr w:w="342" w:h="377" w:wrap="around" w:vAnchor="text" w:hAnchor="margin" w:x="-1717" w:y="122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2"/>
        </w:rPr>
        <w:t>h</w:t>
      </w:r>
      <w:r>
        <w:rPr>
          <w:rStyle w:val="CharStyle21"/>
          <w:lang w:val="en-US" w:eastAsia="en-US" w:bidi="en-US"/>
          <w:spacing w:val="0"/>
        </w:rPr>
        <w:t xml:space="preserve"> </w:t>
      </w:r>
      <w:r>
        <w:rPr>
          <w:rStyle w:val="CharStyle21"/>
          <w:spacing w:val="0"/>
        </w:rPr>
        <w:t>|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0" w:firstLine="0"/>
        <w:sectPr>
          <w:type w:val="continuous"/>
          <w:pgSz w:w="16838" w:h="23810"/>
          <w:pgMar w:top="3768" w:left="5803" w:right="5078" w:bottom="379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№070/06/106-30/2021 по результатам рассмотрения жалобы о нарушении законодательства Российской Федерации о контрактной системе в сфере закупок</w:t>
      </w: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220" w:wrap="around" w:hAnchor="margin" w:x="8947" w:y="974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1"/>
          <w:spacing w:val="0"/>
        </w:rPr>
        <w:t>г. Томск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</w:t>
      </w:r>
      <w:r>
        <w:rPr>
          <w:rStyle w:val="CharStyle28"/>
        </w:rPr>
        <w:t>.</w:t>
      </w:r>
      <w:r>
        <w:rPr>
          <w:lang w:val="ru-RU" w:eastAsia="ru-RU" w:bidi="ru-RU"/>
          <w:w w:val="100"/>
          <w:spacing w:val="0"/>
          <w:color w:val="000000"/>
          <w:position w:val="0"/>
        </w:rPr>
        <w:t>02.2021</w:t>
      </w:r>
    </w:p>
    <w:p>
      <w:pPr>
        <w:pStyle w:val="Style6"/>
        <w:framePr w:w="2114" w:h="2149" w:vSpace="6" w:wrap="around" w:vAnchor="text" w:hAnchor="margin" w:x="-57" w:y="1764"/>
        <w:widowControl w:val="0"/>
        <w:keepNext w:val="0"/>
        <w:keepLines w:val="0"/>
        <w:shd w:val="clear" w:color="auto" w:fill="auto"/>
        <w:bidi w:val="0"/>
        <w:jc w:val="left"/>
        <w:spacing w:before="0" w:after="118" w:line="293" w:lineRule="exact"/>
        <w:ind w:left="20" w:right="100" w:firstLine="0"/>
      </w:pPr>
      <w:r>
        <w:rPr>
          <w:rStyle w:val="CharStyle21"/>
          <w:spacing w:val="0"/>
        </w:rPr>
        <w:t>Алиева Р.А., нленов комиссии: Лосева В.Г., Саналовой О.В., Ворониной К.С., Никитиной Д.А.,</w:t>
      </w:r>
    </w:p>
    <w:p>
      <w:pPr>
        <w:pStyle w:val="Style6"/>
        <w:framePr w:w="2114" w:h="2149" w:vSpace="6" w:wrap="around" w:vAnchor="text" w:hAnchor="margin" w:x="-57" w:y="176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0" w:right="0" w:firstLine="0"/>
      </w:pPr>
      <w:r>
        <w:rPr>
          <w:rStyle w:val="CharStyle21"/>
          <w:spacing w:val="0"/>
        </w:rPr>
        <w:t>без участия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Томской области пр контролю в сфере закупок,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(подрядчиком, исполнителем) (далее - Комиссия Томского У ФАС России) в составе: председателя комиссии: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266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руководителя - начальника отдела контроля закупок;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начальника отдела контроля закупок; главного специалиста-эксперта отдела контроля закупок; специалиста - эксперта отдела контроля закупок;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- эксперта отдела контроля 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представителей заказчика - Департамента дорожной деятельности 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86" w:line="298" w:lineRule="exact"/>
        <w:ind w:left="6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.благоустройства Еорода Томска (далее - Департамент, Заказчик) и заявителя Общества ;с ограниченной ответственностью «ТехСтройПартнер» (далее - Заявитель,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OOQ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уТехСтройПартнер»), уведомленных о времени и месте рассмотрения настоящего дела, при участии представителя уполномоченного органа - Управления муниципального заказа</w:t>
      </w:r>
    </w:p>
    <w:p>
      <w:pPr>
        <w:pStyle w:val="Style29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4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00509</w:t>
      </w:r>
      <w:r>
        <w:rPr>
          <w:rStyle w:val="CharStyle31"/>
          <w:b w:val="0"/>
          <w:bCs w:val="0"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1</w:t>
      </w:r>
      <w:r>
        <w:rPr>
          <w:rStyle w:val="CharStyle31"/>
          <w:b w:val="0"/>
          <w:bCs w:val="0"/>
        </w:rPr>
        <w:t>!</w:t>
      </w:r>
      <w:bookmarkEnd w:id="0"/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тарифной политики Администрации Города Томска Комогорцева А.В. (доверенность №9002 от 11.12.2020),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«ТехСтройПартнер» на действия Заказчика при проведении электронного аукциона «Выполнение работ по благоустройству парка «Томских ученых», в мкр. Наука, г. Томск. Очередь 1, Очередь 2, Очередь 3, Очередь 4» (извещение №0165300010521000025) (далее - Аукцион), и проведя внеплановую проверку в соответствии с п.1 ч.15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44-ФЗ),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800" w:right="0" w:firstLine="0"/>
      </w:pPr>
      <w:r>
        <w:rPr>
          <w:rStyle w:val="CharStyle32"/>
        </w:rPr>
        <w:t>УСТАНОВИЛА: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Томское УФАС России обратилось ООО «ТехСтройПартнер» (вх.№687 от 04.02.2021) с жалобой, поданной в срок и соответствующей ст. 105 Закона 44-ФЗ, на действия Заказчика при проведении Аукциона, нарушающие,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указывает, что Заказчиком допущены следующие нарушения:</w:t>
      </w:r>
    </w:p>
    <w:p>
      <w:pPr>
        <w:pStyle w:val="Style6"/>
        <w:numPr>
          <w:ilvl w:val="0"/>
          <w:numId w:val="1"/>
        </w:numPr>
        <w:tabs>
          <w:tab w:leader="none" w:pos="14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ч.ч.5,8 ст.34 Закона 44-ФЗ, выразившееся в ненадлежащем установлении в проекте контракта порядка начисления штрафов;</w:t>
      </w:r>
    </w:p>
    <w:p>
      <w:pPr>
        <w:pStyle w:val="Style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положений Приказа Минстроя России от 23.12.2019 № 841/пр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фены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строительство!, реконструкция объектов капитального строительства» (далее - приказ Минстроя № 841/пр), выразившееся в отсутствие в документации проекта сметы контракта и расчета ЙМ1ДК с применением индексов инфляции на период строительных работ.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заявитель просит приостановить процедуру закупки, провести внеплановую проверку, обязать внести соответствующие изменения в Документации, продлить срок подачи заявок и привлечь к ответственности виновных лиц. I у Заказчик и уполномоченный орган в своих письменных отзывах с доводами Жалобы не согласились, указав, что документация об Аукционе соответствует требованиям Закона о контрактной системе.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и осуществления в соответствии с п.1 ч.15 ст.99 Закона о контрактной системе внеплановой проверки Комиссия Томского УФАС России установила следующее.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Извещение о проведении электронного аукциона №0165300010521000025 И документация Аукциона размещены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Официальный сайт, ЕИС) 4- 28.01.2021.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составляет 23 558 403, 96 рубля.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0" w:right="40" w:firstLine="10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электронном аукционе подано 9 заявок (Протокол № 66 рассмотрения „ даявок на участие в электронном аукционе № 0165300010521000025 от 08.02.2021).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момент рассмотрения жалобы контракт не заключен.</w:t>
      </w:r>
    </w:p>
    <w:p>
      <w:pPr>
        <w:pStyle w:val="Style3"/>
        <w:framePr w:h="170" w:wrap="around" w:vAnchor="text" w:hAnchor="margin" w:x="619" w:y="15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8"/>
          <w:spacing w:val="0"/>
        </w:rPr>
        <w:t>Г</w:t>
      </w:r>
    </w:p>
    <w:p>
      <w:pPr>
        <w:pStyle w:val="Style6"/>
        <w:numPr>
          <w:ilvl w:val="0"/>
          <w:numId w:val="3"/>
        </w:numPr>
        <w:tabs>
          <w:tab w:leader="none" w:pos="141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ч.4 ст.64 Закона 44-ФЗ к документации об электронном аукционе прилагается проект контракта, который является неотъемлемой частью этой документации.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80" w:right="4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Условия, которые должны быть предусмотрены в муниципальном контракте определены требованиями ст. 34 Закона 44-ФЗ, в том числе и обязательное условие об</w:t>
      </w:r>
      <w:r>
        <w:br w:type="page"/>
      </w:r>
    </w:p>
    <w:p>
      <w:pPr>
        <w:pStyle w:val="Style10"/>
        <w:framePr w:h="259" w:wrap="notBeside" w:hAnchor="margin" w:x="-438" w:y="-22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25"/>
          <w:b/>
          <w:bCs/>
          <w:spacing w:val="0"/>
        </w:rPr>
        <w:t>и</w:t>
      </w:r>
    </w:p>
    <w:p>
      <w:pPr>
        <w:pStyle w:val="Style6"/>
        <w:tabs>
          <w:tab w:leader="none" w:pos="102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 (ч. 4 ст. 34 Закона 44-ФЗ).</w:t>
        <w:tab/>
        <w:t>1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ч.ч.5, 8 ст. 34 Закона 44-ФЗ установлено, что Заказчик обязан установить в контракте размер пени в случае просрочки исполнения заказчиком обязательств', предусмотренных контрактом, а также размер штрафа в виде фиксированной суммы, определенной в порядке, установленном Правительством Российской Федерации, за ненадлежащее исполнение сторонами своих обязательств по контракту.</w:t>
      </w:r>
    </w:p>
    <w:p>
      <w:pPr>
        <w:pStyle w:val="Style23"/>
        <w:framePr w:w="386" w:h="1311" w:wrap="around" w:vAnchor="text" w:hAnchor="margin" w:x="-505" w:y="2151"/>
        <w:widowControl w:val="0"/>
        <w:keepNext w:val="0"/>
        <w:keepLines w:val="0"/>
        <w:shd w:val="clear" w:color="auto" w:fill="auto"/>
        <w:bidi w:val="0"/>
        <w:jc w:val="left"/>
        <w:spacing w:before="0" w:after="878" w:line="180" w:lineRule="exact"/>
        <w:ind w:left="160" w:right="0" w:firstLine="0"/>
      </w:pPr>
      <w:r>
        <w:rPr>
          <w:w w:val="100"/>
          <w:spacing w:val="-30"/>
          <w:color w:val="000000"/>
          <w:position w:val="0"/>
        </w:rPr>
        <w:t>111</w:t>
      </w:r>
    </w:p>
    <w:p>
      <w:pPr>
        <w:pStyle w:val="Style6"/>
        <w:framePr w:w="386" w:h="1311" w:wrap="around" w:vAnchor="text" w:hAnchor="margin" w:x="-505" w:y="215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1"/>
          <w:lang w:val="en-US" w:eastAsia="en-US" w:bidi="en-US"/>
          <w:spacing w:val="0"/>
        </w:rPr>
        <w:t>w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6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№1063» (далее - Постановление №1042) утверждены 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Заявителем жалобы не указано какие именно пункты проекта муниципального контракта в разделе ответственность сторон не соответствуют требованиям ч.ч. 5, 8 ст. </w:t>
      </w:r>
      <w:r>
        <w:rPr>
          <w:rStyle w:val="CharStyle33"/>
        </w:rPr>
        <w:t xml:space="preserve">34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Закона 44-ФЗ.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Разделом 8 «Ответственность Сторон» проекта муниципального контракта, являющегося неотъемлемой частью документации, Заказчиком установлено условие об ответственности сторон по контракту.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Томского УФАС России проверив проект контракта, пришла к выводу*, цто раздел 8 проекта муниципального контракта изложен в соответствии с ч.ч. ч. 4, 5, 7, 8 ст. 34 Закона 44-ФЗ и требованиями Постановления № 1042.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Комиссия Томского УФАС России пришла к выводу!, что довод Заявителя об установлении Заказчиком ненадлежащим образом порядка начисления штрафов в проекте контракта не находит своего подтверждения, является необоснованным.</w:t>
      </w:r>
    </w:p>
    <w:p>
      <w:pPr>
        <w:pStyle w:val="Style6"/>
        <w:numPr>
          <w:ilvl w:val="0"/>
          <w:numId w:val="3"/>
        </w:numPr>
        <w:tabs>
          <w:tab w:leader="none" w:pos="151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1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п.1 ч.1 ст.64 Закона 44-ФЗ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ст.ЗЗ Закона 44-ФЗ,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6"/>
        <w:tabs>
          <w:tab w:leader="none" w:pos="1021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1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7 ст. 110.2 Закона 44-ФЗ определено, что методика составления сметы контракта, предметом которого являются строительство, реконструкция объектов капитального строительства, утверждается уполномоченным Правительством Российской Федерации федеральным органом исполнительной власти. Указанная методика утверждена Приказом Минстроя России от 23.12.2019 № 841/пр.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1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Подпунктом б) пункта 1 данного приказа утверждена Методика составления с:меты контракта, предметом которого являются строительство, реконструкция объектов капитального строительства (далее - Методика) согласно приложению № 2 к приказу.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11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Методики определены общие правила составления сметы контракта, предметом которого являются строительство, реконструкция объектов капитального строительства, при его заключении и внесении изменений в такой контракт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 :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Методики смета контракта на выполнение подрядных работ по строительству некапитальных строений и сооружений, а также других подрядных работ, указанных в разделе VI Порядка определения начальной (максимальной) цены контракта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цены контракта, заключаемого с единственным поставщиком (подрядчиком, йсполнителем),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(далее - Порядок), по соглашению сторон контракта может быть составлена </w:t>
      </w:r>
      <w:r>
        <w:rPr>
          <w:rStyle w:val="CharStyle34"/>
        </w:rPr>
        <w:t xml:space="preserve">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соответствии с Методикой, если в составе документации о закупке размещен проект сметы контракта.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разделе VI Порядка наряду со строительством некапитальных строений и сооружений определены еще такие виды подрядных работ как капитальный ремонт, снос объектов капитального строительства, работы по сохранению объектов культурного наследия (памятников истории и культуры) народов Российской Федерации.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согласно утвержденной Методике смета контракта, предметом которого является капитальный ремонт объекта капитального строительства, составляется по соглашению сторон, если в составе документации о закупке размещен проект сметы.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обязанность по размещению проекта сметы и расчет НМЦК с применением индексов инфляции на период строительных работ в составе документации об электронном аукционе на выполнение работ по благоустройству не установлена положениями ст.110.2 и Приказа Минстроя России от 23.12.2019 № 841/пр.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в ЕИС размещена документация о закупке, в том числе проектная документация и дефектная ведомость, в полном объеме.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Комиссия Томского УФАС России пришла к выводу, что в действиях Заказчика отсутствует нарушение ст.110.2 Закона 44-ФЗ, довод Заявителя является необоснованным. Иное Заявителем не доказано.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302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Принимая во внимание вышеизложенное, и руководствуясь, ст.99, ст. 106 Закона 44-ФЗ, Комиссия Томского УФАС России,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145" w:line="220" w:lineRule="exact"/>
        <w:ind w:left="498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Признать жалобу ООО «ТехСтройПартнер» на действия Заказчика проведении электронного аукциона «Выполнение работ по благоустройству парка «Томских ученых», в мкр. Наука, г. Томск. Очередь 1, Очередь 2, Очередь 3, Очередь </w:t>
      </w:r>
      <w:r>
        <w:rPr>
          <w:rStyle w:val="CharStyle33"/>
        </w:rPr>
        <w:t xml:space="preserve">4&gt;&gt;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(извещение №0165300010521000025) необоснованной.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80" w:right="20" w:firstLine="11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пс|р]ядке в течение трех Угесяцев в установленном законом порядке.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прц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42" w:line="23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8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spacing w:val="0"/>
          <w:color w:val="000000"/>
          <w:position w:val="0"/>
        </w:rPr>
        <w:t>i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596" w:line="23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050" w:line="23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И. !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;,ч I</w:t>
      </w:r>
    </w:p>
    <w:sectPr>
      <w:type w:val="continuous"/>
      <w:pgSz w:w="16838" w:h="23810"/>
      <w:pgMar w:top="3818" w:left="3518" w:right="2875" w:bottom="421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6"/>
    </w:rPr>
  </w:style>
  <w:style w:type="character" w:customStyle="1" w:styleId="CharStyle9">
    <w:name w:val="Основной текст (2) Exact"/>
    <w:basedOn w:val="CharStyle4"/>
    <w:rPr>
      <w:lang w:val="ru-RU" w:eastAsia="ru-RU" w:bidi="ru-RU"/>
      <w:sz w:val="17"/>
      <w:szCs w:val="17"/>
      <w:w w:val="100"/>
      <w:spacing w:val="6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15">
    <w:name w:val="Основной текст (4) + 10 pt"/>
    <w:basedOn w:val="CharStyle1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6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 (2)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 (5)_"/>
    <w:basedOn w:val="DefaultParagraphFont"/>
    <w:link w:val="Style18"/>
    <w:rPr>
      <w:b/>
      <w:bCs/>
      <w:i w:val="0"/>
      <w:iCs w:val="0"/>
      <w:u w:val="none"/>
      <w:strike w:val="0"/>
      <w:smallCaps w:val="0"/>
      <w:sz w:val="17"/>
      <w:szCs w:val="17"/>
      <w:rFonts w:ascii="Consolas" w:eastAsia="Consolas" w:hAnsi="Consolas" w:cs="Consolas"/>
    </w:rPr>
  </w:style>
  <w:style w:type="character" w:customStyle="1" w:styleId="CharStyle20">
    <w:name w:val="Основной текст (5) + Times New Roman,10 pt,Не полужирный"/>
    <w:basedOn w:val="CharStyle19"/>
    <w:rPr>
      <w:lang w:val="ru-RU" w:eastAsia="ru-RU" w:bidi="ru-RU"/>
      <w:b/>
      <w:bCs/>
      <w:sz w:val="20"/>
      <w:szCs w:val="20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"/>
    </w:rPr>
  </w:style>
  <w:style w:type="character" w:customStyle="1" w:styleId="CharStyle22">
    <w:name w:val="Основной текст + Курсив,Интервал 0 pt Exact"/>
    <w:basedOn w:val="CharStyle7"/>
    <w:rPr>
      <w:lang w:val="en-US" w:eastAsia="en-US" w:bidi="en-US"/>
      <w:i/>
      <w:iCs/>
      <w:sz w:val="22"/>
      <w:szCs w:val="22"/>
      <w:w w:val="100"/>
      <w:spacing w:val="-10"/>
      <w:color w:val="000000"/>
      <w:position w:val="0"/>
    </w:rPr>
  </w:style>
  <w:style w:type="character" w:customStyle="1" w:styleId="CharStyle24">
    <w:name w:val="Основной текст (7) Exact"/>
    <w:basedOn w:val="DefaultParagraphFont"/>
    <w:link w:val="Style2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29"/>
    </w:rPr>
  </w:style>
  <w:style w:type="character" w:customStyle="1" w:styleId="CharStyle25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"/>
    </w:rPr>
  </w:style>
  <w:style w:type="character" w:customStyle="1" w:styleId="CharStyle27">
    <w:name w:val="Основной текст (6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8">
    <w:name w:val="Основной текст (6) + 8,5 pt,Полужирный"/>
    <w:basedOn w:val="CharStyle27"/>
    <w:rPr>
      <w:lang w:val="ru-RU" w:eastAsia="ru-RU" w:bidi="ru-RU"/>
      <w:b/>
      <w:bCs/>
      <w:sz w:val="17"/>
      <w:szCs w:val="17"/>
      <w:w w:val="100"/>
      <w:spacing w:val="0"/>
      <w:color w:val="000000"/>
      <w:position w:val="0"/>
    </w:rPr>
  </w:style>
  <w:style w:type="character" w:customStyle="1" w:styleId="CharStyle30">
    <w:name w:val="Заголовок №1_"/>
    <w:basedOn w:val="DefaultParagraphFont"/>
    <w:link w:val="Style29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70"/>
    </w:rPr>
  </w:style>
  <w:style w:type="character" w:customStyle="1" w:styleId="CharStyle31">
    <w:name w:val="Заголовок №1 + Arial,17 pt,Не полужирный,Интервал 0 pt"/>
    <w:basedOn w:val="CharStyle30"/>
    <w:rPr>
      <w:lang w:val="ru-RU" w:eastAsia="ru-RU" w:bidi="ru-RU"/>
      <w:b/>
      <w:bCs/>
      <w:sz w:val="34"/>
      <w:szCs w:val="34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2">
    <w:name w:val="Основной текст + Интервал 3 pt"/>
    <w:basedOn w:val="CharStyle7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33">
    <w:name w:val="Основной текст + Курсив,Интервал 0 pt"/>
    <w:basedOn w:val="CharStyle7"/>
    <w:rPr>
      <w:lang w:val="ru-RU" w:eastAsia="ru-RU" w:bidi="ru-RU"/>
      <w:i/>
      <w:iCs/>
      <w:w w:val="100"/>
      <w:spacing w:val="-10"/>
      <w:color w:val="000000"/>
      <w:position w:val="0"/>
    </w:rPr>
  </w:style>
  <w:style w:type="character" w:customStyle="1" w:styleId="CharStyle34">
    <w:name w:val="Основной текст + 9,5 pt"/>
    <w:basedOn w:val="CharStyle7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36">
    <w:name w:val="Основной текст (8)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0"/>
    </w:rPr>
  </w:style>
  <w:style w:type="character" w:customStyle="1" w:styleId="CharStyle38">
    <w:name w:val="Основной текст (9)_"/>
    <w:basedOn w:val="DefaultParagraphFont"/>
    <w:link w:val="Style37"/>
    <w:rPr>
      <w:b/>
      <w:bCs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20"/>
    </w:rPr>
  </w:style>
  <w:style w:type="character" w:customStyle="1" w:styleId="CharStyle40">
    <w:name w:val="Основной текст (10)_"/>
    <w:basedOn w:val="DefaultParagraphFont"/>
    <w:link w:val="Style39"/>
    <w:rPr>
      <w:b w:val="0"/>
      <w:bCs w:val="0"/>
      <w:i w:val="0"/>
      <w:iCs w:val="0"/>
      <w:u w:val="none"/>
      <w:strike w:val="0"/>
      <w:smallCaps w:val="0"/>
      <w:sz w:val="8"/>
      <w:szCs w:val="8"/>
      <w:rFonts w:ascii="Consolas" w:eastAsia="Consolas" w:hAnsi="Consolas" w:cs="Consolas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spacing w:before="60" w:after="360" w:line="0" w:lineRule="exact"/>
      <w:ind w:hanging="18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FFFFFF"/>
      <w:jc w:val="right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Consolas" w:eastAsia="Consolas" w:hAnsi="Consolas" w:cs="Consolas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spacing w:after="96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29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FFFFFF"/>
      <w:jc w:val="right"/>
      <w:outlineLvl w:val="0"/>
      <w:spacing w:before="42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70"/>
    </w:rPr>
  </w:style>
  <w:style w:type="paragraph" w:customStyle="1" w:styleId="Style35">
    <w:name w:val="Основной текст (8)"/>
    <w:basedOn w:val="Normal"/>
    <w:link w:val="CharStyle36"/>
    <w:pPr>
      <w:widowControl w:val="0"/>
      <w:shd w:val="clear" w:color="auto" w:fill="FFFFFF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60"/>
    </w:rPr>
  </w:style>
  <w:style w:type="paragraph" w:customStyle="1" w:styleId="Style37">
    <w:name w:val="Основной текст (9)"/>
    <w:basedOn w:val="Normal"/>
    <w:link w:val="CharStyle38"/>
    <w:pPr>
      <w:widowControl w:val="0"/>
      <w:shd w:val="clear" w:color="auto" w:fill="FFFFFF"/>
      <w:spacing w:before="240" w:line="0" w:lineRule="exact"/>
    </w:pPr>
    <w:rPr>
      <w:b/>
      <w:bCs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w w:val="20"/>
    </w:rPr>
  </w:style>
  <w:style w:type="paragraph" w:customStyle="1" w:styleId="Style39">
    <w:name w:val="Основной текст (10)"/>
    <w:basedOn w:val="Normal"/>
    <w:link w:val="CharStyle40"/>
    <w:pPr>
      <w:widowControl w:val="0"/>
      <w:shd w:val="clear" w:color="auto" w:fill="FFFFFF"/>
      <w:spacing w:before="204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Consolas" w:eastAsia="Consolas" w:hAnsi="Consolas" w:cs="Consola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