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" w:after="0"/>
        <w:ind w:left="0" w:right="0" w:firstLine="0"/>
      </w:pPr>
      <w:r>
        <w:rPr>
          <w:rStyle w:val="CharStyle5"/>
          <w:b/>
          <w:bCs/>
        </w:rPr>
        <w:t>Федеральной антимонопольной службы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5"/>
          <w:b/>
          <w:bCs/>
        </w:rPr>
        <w:t>по Республике Карелия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8"/>
          <w:b/>
          <w:bCs/>
        </w:rPr>
        <w:t>наб. Варкауса. 1 а, г. Петрозаводск.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201"/>
        <w:ind w:left="0" w:right="0" w:firstLine="0"/>
      </w:pPr>
      <w:r>
        <w:rPr>
          <w:rStyle w:val="CharStyle8"/>
          <w:b/>
          <w:bCs/>
        </w:rPr>
        <w:t xml:space="preserve">Республика Карелия. ! 85031 тел/факс (8142) 78-44-30 </w:t>
      </w:r>
      <w:r>
        <w:rPr>
          <w:rStyle w:val="CharStyle8"/>
          <w:lang w:val="en-US" w:eastAsia="en-US" w:bidi="en-US"/>
          <w:b/>
          <w:bCs/>
        </w:rPr>
        <w:t xml:space="preserve">e-mail: </w:t>
      </w:r>
      <w:r>
        <w:fldChar w:fldCharType="begin"/>
      </w:r>
      <w:r>
        <w:rPr>
          <w:rStyle w:val="CharStyle8"/>
        </w:rPr>
        <w:instrText> HYPERLINK "mailto:tolO@fas.gov.ru" </w:instrText>
      </w:r>
      <w:r>
        <w:fldChar w:fldCharType="separate"/>
      </w:r>
      <w:r>
        <w:rPr>
          <w:rStyle w:val="Hyperlink"/>
          <w:lang w:val="en-US" w:eastAsia="en-US" w:bidi="en-US"/>
          <w:b/>
          <w:bCs/>
        </w:rPr>
        <w:t>tolO@fas.gov.ru</w:t>
      </w:r>
      <w:r>
        <w:fldChar w:fldCharType="end"/>
      </w:r>
    </w:p>
    <w:p>
      <w:pPr>
        <w:pStyle w:val="Style9"/>
        <w:tabs>
          <w:tab w:leader="none" w:pos="2448" w:val="center"/>
          <w:tab w:leader="none" w:pos="2758" w:val="left"/>
        </w:tabs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840" w:right="0" w:firstLine="0"/>
      </w:pPr>
      <w:r>
        <w:rPr>
          <w:rStyle w:val="CharStyle11"/>
          <w:b/>
          <w:bCs/>
        </w:rPr>
        <w:t>1 6. 02. 2021</w:t>
      </w:r>
      <w:r>
        <w:rPr>
          <w:rStyle w:val="CharStyle12"/>
          <w:lang w:val="ru-RU" w:eastAsia="ru-RU" w:bidi="ru-RU"/>
          <w:b/>
          <w:bCs/>
        </w:rPr>
        <w:tab/>
      </w:r>
      <w:r>
        <w:rPr>
          <w:rStyle w:val="CharStyle13"/>
          <w:b/>
          <w:bCs/>
        </w:rPr>
        <w:t>№</w:t>
        <w:tab/>
      </w:r>
      <w:r>
        <w:rPr>
          <w:rStyle w:val="CharStyle14"/>
          <w:b/>
          <w:bCs/>
        </w:rPr>
        <w:t>pi</w:t>
      </w:r>
      <w:r>
        <w:rPr>
          <w:rStyle w:val="CharStyle15"/>
          <w:b/>
          <w:bCs/>
        </w:rPr>
        <w:t>o(QfcUo5-6</w:t>
      </w:r>
      <w:r>
        <w:rPr>
          <w:rStyle w:val="CharStyle14"/>
          <w:b/>
          <w:bCs/>
        </w:rPr>
        <w:t>sUog^4(;A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52" w:line="298" w:lineRule="exact"/>
        <w:ind w:left="20" w:right="5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Дело № 010/06/105-65/2021 04-18/09-2021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83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240"/>
        <w:ind w:left="2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Администрация Лахденпохского муниципального района ул. Советская, д. 7а, г. Лахденпохья, 186730 </w:t>
      </w:r>
      <w:r>
        <w:fldChar w:fldCharType="begin"/>
      </w:r>
      <w:r>
        <w:rPr>
          <w:color w:val="000000"/>
        </w:rPr>
        <w:instrText> HYPERLINK "mailto:sergeeva-ea@lah-mr.ru"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sergeeva-ea@lah-mr.ru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83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Заявитель: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4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57" w:left="846" w:right="889" w:bottom="591" w:header="0" w:footer="3" w:gutter="0"/>
          <w:rtlGutter w:val="0"/>
          <w:cols w:num="2" w:space="720" w:equalWidth="0">
            <w:col w:w="5429" w:space="1205"/>
            <w:col w:w="3538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ООО «Контракт» пер. Вишневый, д. 856, пом. 12, г. Сочи, 354003 </w:t>
      </w:r>
      <w:r>
        <w:fldChar w:fldCharType="begin"/>
      </w:r>
      <w:r>
        <w:rPr>
          <w:color w:val="000000"/>
        </w:rPr>
        <w:instrText> HYPERLINK "mailto:skvconsultor@gmail.com"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skvconsultor@gmail.com</w:t>
      </w:r>
      <w:r>
        <w:fldChar w:fldCharType="end"/>
      </w:r>
    </w:p>
    <w:p>
      <w:pPr>
        <w:widowControl w:val="0"/>
        <w:spacing w:line="88" w:lineRule="exact"/>
        <w:rPr>
          <w:sz w:val="7"/>
          <w:szCs w:val="7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framePr w:h="150" w:wrap="around" w:vAnchor="text" w:hAnchor="margin" w:x="2303" w:y="45"/>
        <w:widowControl w:val="0"/>
        <w:keepNext w:val="0"/>
        <w:keepLines w:val="0"/>
        <w:shd w:val="clear" w:color="auto" w:fill="auto"/>
        <w:bidi w:val="0"/>
        <w:jc w:val="left"/>
        <w:spacing w:before="0" w:after="0" w:line="150" w:lineRule="exact"/>
        <w:ind w:left="100" w:right="0" w:firstLine="0"/>
      </w:pPr>
      <w:r>
        <w:rPr>
          <w:rStyle w:val="CharStyle19"/>
          <w:b/>
          <w:bCs/>
          <w:spacing w:val="0"/>
        </w:rPr>
        <w:t>от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1098" w:line="210" w:lineRule="exact"/>
        <w:ind w:left="20" w:right="0" w:firstLine="0"/>
      </w:pPr>
      <w:r>
        <w:rPr>
          <w:rStyle w:val="CharStyle22"/>
        </w:rPr>
        <w:t>На №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по делу № 010/06/105-65/2021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right"/>
        <w:spacing w:before="0" w:after="0" w:line="298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г. Петрозаводск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68" w:line="302" w:lineRule="exact"/>
        <w:ind w:left="20" w:right="14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Резолютивная часть решения объявлена «11» февраля 2021 года Решение в полном объеме изготовлено «16» февраля 2021 года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Карельского У ФАС России по контролю в сфере закупок для государственных и муниципальных нужд в составе: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Петрова М.С. - заместителя председателя Комиссии, заместителя руководителя, начальника отдела контроля органов власти и закупок Карельского УФАС России;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Суханова М.С. - члена Комиссии, заместителя начальника отдела контроля органов власти и закупок Карельского УФАС России;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60" w:line="298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Лайдинен О.В. - члена Комиссии, ведущего специалиста - эксперта отдела контроля органов власти и закупок Карельского УФАС России;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без участия представителей Заказчика - Администрация Лахденпохского муниципального района (ходатайство о рассмотрение дела по жалобе без участия представителя Заказчика в режиме видеоконференцсвязи в материалах дела);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64" w:line="298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отсутствие представителя Заявителя - ООО «Контракт» (уведомлено надлежащим образом, участие представителя в режиме видеоконференцсвязи не обеспечило);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жалобу ООО «Контракт» (далее - Заявитель) на действия Заказчика — администрации Лахденпохского муниципального района при проведении электронного аукциона на выполнение работ по содержанию автомобильных дорог местного значения общего пользования Лахденпохского городского поселения в 2021 году (извещение № 0106300000621000002) (далее - Аукцион) и в результате осуществления внеплановой проверки в соответствии с частью 15 статьи 99 Федерального закона от 05.04.2013 № 44- 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 Административным регламентом, утвержденным Приказом ФАС России от 19.11.2014 № 727/14 (зарегистрировано в Минюсте России 27.02.2015 № 36262)</w:t>
      </w:r>
    </w:p>
    <w:p>
      <w:pPr>
        <w:pStyle w:val="Style23"/>
        <w:widowControl w:val="0"/>
        <w:keepNext/>
        <w:keepLines/>
        <w:shd w:val="clear" w:color="auto" w:fill="auto"/>
        <w:bidi w:val="0"/>
        <w:spacing w:before="0" w:after="0" w:line="400" w:lineRule="exact"/>
        <w:ind w:left="0" w:right="320" w:firstLine="0"/>
      </w:pPr>
      <w:bookmarkStart w:id="0" w:name="bookmark0"/>
      <w:r>
        <w:rPr>
          <w:lang w:val="ru-RU" w:eastAsia="ru-RU" w:bidi="ru-RU"/>
          <w:w w:val="100"/>
          <w:color w:val="000000"/>
          <w:position w:val="0"/>
        </w:rPr>
        <w:t>005149</w:t>
      </w:r>
      <w:r>
        <w:rPr>
          <w:rStyle w:val="CharStyle25"/>
          <w:b w:val="0"/>
          <w:bCs w:val="0"/>
        </w:rPr>
        <w:t xml:space="preserve"> #</w:t>
      </w:r>
      <w:bookmarkEnd w:id="0"/>
      <w:r>
        <w:br w:type="page"/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6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Заявитель обжалует действия Заказчика, выразившиеся в размещении аукционной документации с нарушениями требования законодательства о контрактной системе.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6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 письмом № 637 от 08.02.2020 просил о рассмотрении жалобы ООО «Контракт» без участия своего представителя, а также выразил несогласие с доводами Заявителя.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6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результате рассмотрения жалобы и проведения в соответствии с частью 15 статьи 99 Закона о контрактной системе внеплановой проверки, Комиссией Карельского УФАС России по контролю в сфере закупок установлено следующее:</w:t>
      </w:r>
    </w:p>
    <w:p>
      <w:pPr>
        <w:pStyle w:val="Style16"/>
        <w:tabs>
          <w:tab w:leader="none" w:pos="203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^ Заказчик:</w:t>
        <w:tab/>
        <w:t>АДМИНИСТРАЦИЯ ЛАХДЕНПОХСКОГО МУНИЦИПАЛЬНОГО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РАЙОНА Российская Федерация, 186730, Карелия Респ, Лахденпохский р-н, Лахденпохья г, УЛИЦА СОВЕТСКАЯ, 7А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6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Ответственное должностное лицо Виноградов А. Ю. Адрес электронной почты </w:t>
      </w:r>
      <w:r>
        <w:fldChar w:fldCharType="begin"/>
      </w:r>
      <w:r>
        <w:rPr>
          <w:color w:val="000000"/>
        </w:rPr>
        <w:instrText> HYPERLINK "mailto:sergeeva-ea@lah-mr.ru"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sergeeva-ea@lah-mr.ru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Номер контактного телефона 8814-50-45251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6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Адрес электронной площадки в информационно-телекоммуникационной сети "Интернет" </w:t>
      </w:r>
      <w:r>
        <w:fldChar w:fldCharType="begin"/>
      </w:r>
      <w:r>
        <w:rPr>
          <w:color w:val="000000"/>
        </w:rPr>
        <w:instrText> HYPERLINK "http://www.sberbank-ast.ru"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http://www.sberbank-ast.ru</w:t>
      </w:r>
      <w:r>
        <w:fldChar w:fldCharType="end"/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Информация о лице, подавшем жалобу: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Наименование: ООО "Контракт"</w:t>
      </w:r>
    </w:p>
    <w:p>
      <w:pPr>
        <w:pStyle w:val="Style16"/>
        <w:tabs>
          <w:tab w:leader="none" w:pos="4970" w:val="right"/>
          <w:tab w:leader="none" w:pos="528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6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Место нахождения и почтовый адрес: 354003, г. Сочи, пер. Вишневый, 85Б, пом. 12 Номер контактного телефона:</w:t>
        <w:tab/>
        <w:t>+7(928)</w:t>
        <w:tab/>
        <w:t>234-23-59 Адрес электронной почты: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620" w:right="7320"/>
      </w:pP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skvconsultorffigmail.com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Сведения о закупке: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Извещение № 0106300000621000002 от 26.01.2021 12:54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40" w:right="6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Объект закупки: Выполнение работ по содержанию автомобильных дорог местного значения общего пользования Лахденпохского городского поселения в 2021 году Место доставки товара, выполнения работы или оказания услуги: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6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Российская Федерация, Карелия Респ, Лахденпохский р-н, Республика Карелия, г.Лахденпохья, в соответствии с «Перечнем автомобильных дорог общего пользования местного значения г. Лахденпохья» (Таблица № 1 Технического задания)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106" w:line="298" w:lineRule="exact"/>
        <w:ind w:left="40" w:right="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Начальная (максимальная) цена контракта: 6 000 000,00 рублей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80" w:line="240" w:lineRule="exact"/>
        <w:ind w:left="40" w:right="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Карельского УФАС России изучив доводы жалобы установила:</w:t>
      </w:r>
    </w:p>
    <w:p>
      <w:pPr>
        <w:pStyle w:val="Style1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6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 соответствии с ч. 4 ст. 65 Закона о контрактной системе в течение двух дней с даты поступления от оператора электронной площадки указанного в части 3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запроса, но без указания участника такого аукциона, от которого поступил указанный запрос, при условии, что указанный запрос поступил заказчику </w:t>
      </w:r>
      <w:r>
        <w:rPr>
          <w:rStyle w:val="CharStyle26"/>
        </w:rPr>
        <w:t>не позднее чем за три дня до даты окончания срока подачи заявок на участие в таком аукционе.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6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Заказчик установил в Извещении срок окончания предоставления им разъяснений участникам закупки: 01.02.2021 в 12:00, при этом Заказчик указывает следующую информацию: Дата и время окончания подачи заявок </w:t>
      </w:r>
      <w:r>
        <w:rPr>
          <w:rStyle w:val="CharStyle26"/>
        </w:rPr>
        <w:t xml:space="preserve">05.02.2021.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срок подачи разъяснений должен быть установлен со 02.02.2021 года. Данный довод Заявителя является обоснованным.</w:t>
      </w:r>
    </w:p>
    <w:p>
      <w:pPr>
        <w:pStyle w:val="Style1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6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 соответствии с ч.2.1. ст. 31 Закона о контрактной системе Правительство Российской Федерации вправе установить дополнительные требования к участникам закупок аудиторских и сопутствующих аудиту услуг, а также консультационных услуг. В извещении Заказчик указал данную статью Закона как основание для установления требований. Объектом закупки данного аукциона является "Выполнение работ по содержанию автомобильных дорог местного значения общего пользования Лахденпохского городского поселения в 2021 году", что, соответственно, не относится к аудиторским либо консультационным услугам, а, следовательно, не может быть затребовано у участника.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60" w:right="4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силу ч 6 ст.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закона, таким образом данный довод Заявителя также признается обоснованным.</w:t>
      </w:r>
    </w:p>
    <w:p>
      <w:pPr>
        <w:pStyle w:val="Style1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60" w:right="4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 соответствии п.8.2 ст.66 Закона о контрактной системе электронные документы (их копии), подтверждающие соответствие участника электронного аукциона дополнительным требованиям, установленным в соответствии с частями 2 и 2.1 статьи 31 настоящего Федерального закона, не включаются участником такого аукциона в состав второй части заявки. Такие документы (их копии) направляются заказчику оператором электронной площадки с использованием программно-аппаратных средств такой площадки в соответствии с частью 19 статьи 68 настоящего Федерального закона одновременно со вторыми частями заявок на участие в таком аукционе из числа документов (их копий), размещенных в соответствии с частью 13 статьи 24.2 настоящего Федерального закона в реестре участников закупок, аккредитованных на электронной площадке.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60" w:right="4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Заказчик, согласно Раздела 2 ИНФОРМАЦИОННОЙ КАРТЫ АУКЦИОНА требует предоставления во второй части заявки документов, подтверждающих дополнительные требования ч.2 ст.31 ФЗ-44, непредоставление которых приведет к отклонению заявки участника: так 19.4. Требования о документах и информации, предоставляемых в составе второй части заявки на участие в электронном аукционе содержатся в разделе 2 «ИНФОРМАЦИОННАЯКАРТА АУКЦИОНА».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60" w:right="4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Подпункте </w:t>
      </w:r>
      <w:r>
        <w:rPr>
          <w:rStyle w:val="CharStyle26"/>
        </w:rPr>
        <w:t xml:space="preserve">19.2.1,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пункта </w:t>
      </w:r>
      <w:r>
        <w:rPr>
          <w:rStyle w:val="CharStyle26"/>
        </w:rPr>
        <w:t xml:space="preserve">19.2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раздела </w:t>
      </w:r>
      <w:r>
        <w:rPr>
          <w:rStyle w:val="CharStyle26"/>
        </w:rPr>
        <w:t xml:space="preserve">1,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пункте </w:t>
      </w:r>
      <w:r>
        <w:rPr>
          <w:rStyle w:val="CharStyle26"/>
        </w:rPr>
        <w:t xml:space="preserve">19.4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раздела </w:t>
      </w:r>
      <w:r>
        <w:rPr>
          <w:rStyle w:val="CharStyle26"/>
        </w:rPr>
        <w:t xml:space="preserve">1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Требования к содержанию и составу заявки на участие в аукционе. Инструкция по заполнению заявки на участие в аукционе. Вторая часть заявки на участие в аукционе должна содержать: </w:t>
      </w:r>
      <w:r>
        <w:rPr>
          <w:rStyle w:val="CharStyle26"/>
        </w:rPr>
        <w:t xml:space="preserve">2.5.) В отношении участников аукциона устанавливаются дополнительные требования: наличие за последние 5 лет до даты подачи заявки на участие в закупке опыта исполнения (с учетом правопреемства) одного контракта (договора) на выполнение работ по строительству, реконструкции, капитальному ремонту линейного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объекта либо одного контракта (договора), заключенного в соответствии с Федеральным законом "О контрактной системе в сфере закупок товаров, работ, услуг для обеспечения государственных и муниципальных нужд" или Федеральным законом "О закупках товаров, работ, услуг отдельными видами юридических лиц" на выполнение работ по ремонту, содержанию автомобильных дорог.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60" w:right="4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Данный довод жалобы также является обоснованным, т.к. в силу ч. 6 ст. 66 Закона о контрактной системе требовать от участника электронного аукциона предоставления иных документов и информации, за исключением предусмотренных частями 3 или 3.1 и </w:t>
      </w:r>
      <w:r>
        <w:rPr>
          <w:rStyle w:val="CharStyle26"/>
        </w:rPr>
        <w:t xml:space="preserve">5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настоящей статьи документов и информации, не допускается.</w:t>
      </w:r>
    </w:p>
    <w:p>
      <w:pPr>
        <w:pStyle w:val="Style16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60" w:right="4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 соответствии с ч.б ст. 96 Закона о контрактной системе в случае установления заказчиком в соответствии с настоящей статьей требования обеспечения исполнения контракта размер такого обеспечения устанавливается в соответствии с настоящим Федеральным законом в извещении об осуществлении закупки, документации о закупке, проекте контракта, приглашении принять участие в определении поставщика (подрядчика, исполнителя) закрытым способом в размере от одной второй процента до тридцати процентов начальной (максимальной) цены контракта, за исключением случаев, предусмотренных частями 6.1 и 6.2 настоящей статьи. При этом, если:</w:t>
      </w:r>
    </w:p>
    <w:p>
      <w:pPr>
        <w:pStyle w:val="Style16"/>
        <w:numPr>
          <w:ilvl w:val="0"/>
          <w:numId w:val="3"/>
        </w:numPr>
        <w:tabs>
          <w:tab w:leader="none" w:pos="139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контрактом предусмотрена выплата аванса, размер обеспечения исполнения контракта устанавливается не менее чем в размере аванса, за исключением случая, предусмотренного пунктом 3 настоящей части;</w:t>
      </w:r>
    </w:p>
    <w:p>
      <w:pPr>
        <w:pStyle w:val="Style16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аванс превышает тридцать процентов начальной (максимальной) цены контракта, размер обеспечения исполнения контракта устанавливается в размере аванса;</w:t>
      </w:r>
    </w:p>
    <w:p>
      <w:pPr>
        <w:pStyle w:val="Style16"/>
        <w:numPr>
          <w:ilvl w:val="0"/>
          <w:numId w:val="3"/>
        </w:numPr>
        <w:tabs>
          <w:tab w:leader="none" w:pos="139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законодательством Российской Федерации расчеты по контракту в части выплаты аванса подлежат казначейскому сопровождению, размер обеспечения исполнения контракта устанавливается заказчиком от начальной (максимальной) цены контракта (от цены контракта в случае, предусмотренном частью 6.2 настоящей статьи при заключении контракта по результатам определения поставщиков (подрядчиков, исполнителей) в соответствии с пунктом 1 части 1 статьи 30 настоящего Федерального закона), уменьшенной на размер такого аванса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Как было установлено, Заказчик в проекте контракта установил неверный размер обеспечения исполнения контракта, в п. 12.1. Заказчиком установлено требование обеспечения исполнения Контракта в размере 5 (Пяти) процентов от суммы начальной (максимальной) цены контракта, вместе с тем, размер обеспечения исполнения контракта устанавливается от цены контракта. Данный довод также является обоснованным.</w:t>
      </w:r>
    </w:p>
    <w:p>
      <w:pPr>
        <w:pStyle w:val="Style16"/>
        <w:numPr>
          <w:ilvl w:val="0"/>
          <w:numId w:val="1"/>
        </w:numPr>
        <w:tabs>
          <w:tab w:leader="none" w:pos="100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соответствии с 4.12.4 ст. 96 Закона о контрактной системе Исполнение Контракта может обеспечиваться предоставлением банковской гарантии, выданной банком и соответствующей требованиям ст. 45 Федерального закона № 44-ФЗ,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Способ обеспечения исполнения Контракта определяется Подрядчиком самостоятельно. </w:t>
      </w:r>
      <w:r>
        <w:rPr>
          <w:rStyle w:val="CharStyle26"/>
        </w:rPr>
        <w:t xml:space="preserve">Срок действия банковской гарантии должен превышать срок действия Контракта не менее чем на один месяц.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Как было установлено Заказчиком срок действия контракта и срок исполнения обязательств установлен в один и тот же день 31.12.2021, в связи с чем, данный довод Заявителя также признается обоснованным.</w:t>
      </w:r>
    </w:p>
    <w:p>
      <w:pPr>
        <w:pStyle w:val="Style16"/>
        <w:tabs>
          <w:tab w:leader="none" w:pos="516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Выявленные нарушения, по мнению комиссии в данном случае не нарушают права и интересы Заявителя, т.к. последним не было представлено соответствующих подтверждающих документов (например:</w:t>
        <w:tab/>
        <w:t>исполненные контракты), аннулирование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закупки может повлечь негативные последствия для неопределенного круга лиц , так как предметом закупки является ремонт и содержание автомобильных дорог.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106" w:line="298" w:lineRule="exact"/>
        <w:ind w:left="40" w:right="4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вышеизложенного и руководствуясь статьями 99, 106 Закона о контрактной системе, Комиссия Карельского УФАС России по контролю в сфере закупок для государственных и муниципальных нужд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85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16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4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жалобу ООО «Контракт» (далее - Заявитель) на действия Заказчика — администрации Лахденпохского муниципального района при проведении электронного аукциона на выполнение работ по содержанию автомобильных дорог местного значения общего пользования Лахденпохского городского поселения в 2021 году (извещение № 0106300000621000002)обоснованной.</w:t>
      </w:r>
    </w:p>
    <w:p>
      <w:pPr>
        <w:pStyle w:val="Style16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4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в действиях Заказчика - администрации Лахденпохского муниципального района нарушения части 4 статьи 65, ч. 6 ст. 31, ч. 6 ст. 66, ч.б ст. 96, 4.12.4 ст.96 Закона о контрактной системе.</w:t>
      </w:r>
    </w:p>
    <w:p>
      <w:pPr>
        <w:pStyle w:val="Style16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Предписания не выдавать.</w:t>
      </w:r>
    </w:p>
    <w:p>
      <w:pPr>
        <w:pStyle w:val="Style16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4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Обязать Заказчика определить лицо, ответственное за нарушение части 4 статьи 65, ч. 6 ст. 31, ч. 6 ст. 66, ч.б ст. 96, 4.12.4 ст.96 Закона о контрактной системе, а также</w:t>
        <w:br w:type="page"/>
        <w:t>обеспечить его явку для дачи объяснений по факту вменяемого правонарушения, составления и подписания протокола об административном правонарушении, ответственность за которое предусмотрена частью 4 статьи 7.32 КоАП РФ.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580"/>
      </w:pPr>
      <w:r>
        <w:rPr>
          <w:rStyle w:val="CharStyle27"/>
          <w:b/>
          <w:bCs/>
        </w:rPr>
        <w:t>Составление и подписание протокола состоится «26» февраля 2021 года в 10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27"/>
          <w:b/>
          <w:bCs/>
        </w:rPr>
        <w:t>часов 00 минут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по адресу: г. Петрозаводск, наб. Варкауса, д. 1а, каб. 516.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5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Не позднее трех дней до даты составления протокола представить копию паспорта должностного лица, информацию о месте жительства и об адресе, по которому получается почтовая корреспонденция, сведения о наличии несовершеннолетних детей и лиц, находящихся на иждивении лица, привлекаемого к административной ответственности; письменные пояснения должностного лица относительно обстоятельств дела.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580"/>
        <w:sectPr>
          <w:type w:val="continuous"/>
          <w:pgSz w:w="11906" w:h="16838"/>
          <w:pgMar w:top="1050" w:left="985" w:right="750" w:bottom="849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Также, в силу части 1 статьи 24.4, части 1 статьи 25.1 КоАП РФ лицо, в отношении которого ведется производство по делу об административном правонарушении, вправе заявить ходатайство о составлении протокола в его отсутствие.</w:t>
      </w:r>
    </w:p>
    <w:p>
      <w:pPr>
        <w:widowControl w:val="0"/>
        <w:spacing w:before="64" w:after="6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left"/>
        <w:spacing w:before="0" w:after="333"/>
        <w:ind w:left="320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решение может быть обжаловано в Арбитражном суде Республики Карелия в течение 3-х месяцев с момента его прш</w:t>
      </w:r>
    </w:p>
    <w:p>
      <w:pPr>
        <w:pStyle w:val="Style28"/>
        <w:framePr w:h="300" w:wrap="around" w:vAnchor="text" w:hAnchor="margin" w:x="6808" w:y="389"/>
        <w:widowControl w:val="0"/>
        <w:keepNext w:val="0"/>
        <w:keepLines w:val="0"/>
        <w:shd w:val="clear" w:color="auto" w:fill="auto"/>
        <w:bidi w:val="0"/>
        <w:jc w:val="left"/>
        <w:spacing w:before="0" w:after="0" w:line="300" w:lineRule="exact"/>
        <w:ind w:left="100" w:right="0" w:firstLine="0"/>
      </w:pPr>
      <w:r>
        <w:rPr>
          <w:rStyle w:val="CharStyle30"/>
        </w:rPr>
        <w:t>Ы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302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Заместитель Председателя Комиссии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</w:p>
    <w:sectPr>
      <w:type w:val="continuous"/>
      <w:pgSz w:w="11906" w:h="16838"/>
      <w:pgMar w:top="5202" w:left="894" w:right="2281" w:bottom="524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Основной текст (4)_"/>
    <w:basedOn w:val="DefaultParagraphFont"/>
    <w:link w:val="Style9"/>
    <w:rPr>
      <w:lang w:val="en-US" w:eastAsia="en-US" w:bidi="en-US"/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w w:val="66"/>
      <w:spacing w:val="10"/>
    </w:rPr>
  </w:style>
  <w:style w:type="character" w:customStyle="1" w:styleId="CharStyle11">
    <w:name w:val="Основной текст (4)"/>
    <w:basedOn w:val="CharStyle10"/>
    <w:rPr>
      <w:lang w:val="ru-RU" w:eastAsia="ru-RU" w:bidi="ru-RU"/>
      <w:u w:val="single"/>
      <w:color w:val="000000"/>
      <w:position w:val="0"/>
    </w:rPr>
  </w:style>
  <w:style w:type="character" w:customStyle="1" w:styleId="CharStyle12">
    <w:name w:val="Основной текст (4)"/>
    <w:basedOn w:val="CharStyle10"/>
    <w:rPr>
      <w:lang w:val="1024"/>
      <w:color w:val="000000"/>
      <w:position w:val="0"/>
    </w:rPr>
  </w:style>
  <w:style w:type="character" w:customStyle="1" w:styleId="CharStyle13">
    <w:name w:val="Основной текст (4)"/>
    <w:basedOn w:val="CharStyle10"/>
    <w:rPr>
      <w:lang w:val="ru-RU" w:eastAsia="ru-RU" w:bidi="ru-RU"/>
      <w:color w:val="000000"/>
      <w:position w:val="0"/>
    </w:rPr>
  </w:style>
  <w:style w:type="character" w:customStyle="1" w:styleId="CharStyle14">
    <w:name w:val="Основной текст (4)"/>
    <w:basedOn w:val="CharStyle10"/>
    <w:rPr>
      <w:color w:val="000000"/>
      <w:position w:val="0"/>
    </w:rPr>
  </w:style>
  <w:style w:type="character" w:customStyle="1" w:styleId="CharStyle15">
    <w:name w:val="Основной текст (4)"/>
    <w:basedOn w:val="CharStyle10"/>
    <w:rPr>
      <w:u w:val="single"/>
      <w:color w:val="000000"/>
      <w:position w:val="0"/>
    </w:rPr>
  </w:style>
  <w:style w:type="character" w:customStyle="1" w:styleId="CharStyle17">
    <w:name w:val="Основной текст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8">
    <w:name w:val="Основной текст (3) Exact"/>
    <w:basedOn w:val="DefaultParagraphFont"/>
    <w:rPr>
      <w:b/>
      <w:bCs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2"/>
    </w:rPr>
  </w:style>
  <w:style w:type="character" w:customStyle="1" w:styleId="CharStyle19">
    <w:name w:val="Основной текст (3) Exact"/>
    <w:basedOn w:val="CharStyle7"/>
    <w:rPr>
      <w:lang w:val="ru-RU" w:eastAsia="ru-RU" w:bidi="ru-RU"/>
      <w:sz w:val="15"/>
      <w:szCs w:val="15"/>
      <w:w w:val="100"/>
      <w:spacing w:val="2"/>
      <w:color w:val="000000"/>
      <w:position w:val="0"/>
    </w:rPr>
  </w:style>
  <w:style w:type="character" w:customStyle="1" w:styleId="CharStyle21">
    <w:name w:val="Основной текст (5)_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sz w:val="21"/>
      <w:szCs w:val="21"/>
      <w:rFonts w:ascii="Corbel" w:eastAsia="Corbel" w:hAnsi="Corbel" w:cs="Corbel"/>
    </w:rPr>
  </w:style>
  <w:style w:type="character" w:customStyle="1" w:styleId="CharStyle22">
    <w:name w:val="Основной текст (5)"/>
    <w:basedOn w:val="CharStyle2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4">
    <w:name w:val="Заголовок №1_"/>
    <w:basedOn w:val="DefaultParagraphFont"/>
    <w:link w:val="Style23"/>
    <w:rPr>
      <w:b/>
      <w:bCs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  <w:spacing w:val="40"/>
    </w:rPr>
  </w:style>
  <w:style w:type="character" w:customStyle="1" w:styleId="CharStyle25">
    <w:name w:val="Заголовок №1 + Corbel,20 pt,Не полужирный,Интервал 0 pt"/>
    <w:basedOn w:val="CharStyle24"/>
    <w:rPr>
      <w:lang w:val="ru-RU" w:eastAsia="ru-RU" w:bidi="ru-RU"/>
      <w:b/>
      <w:bCs/>
      <w:sz w:val="40"/>
      <w:szCs w:val="40"/>
      <w:rFonts w:ascii="Corbel" w:eastAsia="Corbel" w:hAnsi="Corbel" w:cs="Corbel"/>
      <w:w w:val="100"/>
      <w:spacing w:val="0"/>
      <w:color w:val="000000"/>
      <w:position w:val="0"/>
    </w:rPr>
  </w:style>
  <w:style w:type="character" w:customStyle="1" w:styleId="CharStyle26">
    <w:name w:val="Основной текст + Полужирный"/>
    <w:basedOn w:val="CharStyle17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27">
    <w:name w:val="Основной текст (2)"/>
    <w:basedOn w:val="CharStyle4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29">
    <w:name w:val="Основной текст (7) Exact"/>
    <w:basedOn w:val="DefaultParagraphFont"/>
    <w:link w:val="Style28"/>
    <w:rPr>
      <w:b w:val="0"/>
      <w:bCs w:val="0"/>
      <w:i w:val="0"/>
      <w:iCs w:val="0"/>
      <w:u w:val="none"/>
      <w:strike w:val="0"/>
      <w:smallCaps w:val="0"/>
      <w:sz w:val="30"/>
      <w:szCs w:val="30"/>
      <w:rFonts w:ascii="Times New Roman" w:eastAsia="Times New Roman" w:hAnsi="Times New Roman" w:cs="Times New Roman"/>
    </w:rPr>
  </w:style>
  <w:style w:type="character" w:customStyle="1" w:styleId="CharStyle30">
    <w:name w:val="Основной текст (7) Exact"/>
    <w:basedOn w:val="CharStyle29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2">
    <w:name w:val="Основной текст (6)_"/>
    <w:basedOn w:val="DefaultParagraphFont"/>
    <w:link w:val="Style31"/>
    <w:rPr>
      <w:b/>
      <w:bCs/>
      <w:i/>
      <w:iCs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60" w:line="307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line="211" w:lineRule="exact"/>
    </w:pPr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jc w:val="both"/>
      <w:spacing w:before="240" w:line="0" w:lineRule="exact"/>
    </w:pPr>
    <w:rPr>
      <w:lang w:val="en-US" w:eastAsia="en-US" w:bidi="en-US"/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w w:val="66"/>
      <w:spacing w:val="10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FFFFFF"/>
      <w:spacing w:after="240" w:line="283" w:lineRule="exact"/>
      <w:ind w:hanging="580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0">
    <w:name w:val="Основной текст (5)"/>
    <w:basedOn w:val="Normal"/>
    <w:link w:val="CharStyle21"/>
    <w:pPr>
      <w:widowControl w:val="0"/>
      <w:shd w:val="clear" w:color="auto" w:fill="FFFFFF"/>
      <w:spacing w:after="1200"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Corbel" w:eastAsia="Corbel" w:hAnsi="Corbel" w:cs="Corbel"/>
    </w:rPr>
  </w:style>
  <w:style w:type="paragraph" w:customStyle="1" w:styleId="Style23">
    <w:name w:val="Заголовок №1"/>
    <w:basedOn w:val="Normal"/>
    <w:link w:val="CharStyle24"/>
    <w:pPr>
      <w:widowControl w:val="0"/>
      <w:shd w:val="clear" w:color="auto" w:fill="FFFFFF"/>
      <w:jc w:val="right"/>
      <w:outlineLvl w:val="0"/>
      <w:spacing w:before="60" w:line="0" w:lineRule="exact"/>
    </w:pPr>
    <w:rPr>
      <w:b/>
      <w:bCs/>
      <w:i w:val="0"/>
      <w:iCs w:val="0"/>
      <w:u w:val="none"/>
      <w:strike w:val="0"/>
      <w:smallCaps w:val="0"/>
      <w:sz w:val="32"/>
      <w:szCs w:val="32"/>
      <w:rFonts w:ascii="Times New Roman" w:eastAsia="Times New Roman" w:hAnsi="Times New Roman" w:cs="Times New Roman"/>
      <w:spacing w:val="40"/>
    </w:rPr>
  </w:style>
  <w:style w:type="paragraph" w:customStyle="1" w:styleId="Style28">
    <w:name w:val="Основной текст (7)"/>
    <w:basedOn w:val="Normal"/>
    <w:link w:val="CharStyle29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30"/>
      <w:szCs w:val="30"/>
      <w:rFonts w:ascii="Times New Roman" w:eastAsia="Times New Roman" w:hAnsi="Times New Roman" w:cs="Times New Roman"/>
    </w:rPr>
  </w:style>
  <w:style w:type="paragraph" w:customStyle="1" w:styleId="Style31">
    <w:name w:val="Основной текст (6)"/>
    <w:basedOn w:val="Normal"/>
    <w:link w:val="CharStyle32"/>
    <w:pPr>
      <w:widowControl w:val="0"/>
      <w:shd w:val="clear" w:color="auto" w:fill="FFFFFF"/>
      <w:spacing w:after="360" w:line="206" w:lineRule="exact"/>
      <w:ind w:hanging="1640"/>
    </w:pPr>
    <w:rPr>
      <w:b/>
      <w:bCs/>
      <w:i/>
      <w:iCs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