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1172" w:left="2387" w:right="8536" w:bottom="1201" w:header="0" w:footer="3" w:gutter="0"/>
          <w:rtlGutter w:val="0"/>
          <w:cols w:space="720"/>
          <w:noEndnote/>
          <w:docGrid w:linePitch="360"/>
        </w:sectPr>
      </w:pPr>
    </w:p>
    <w:p>
      <w:pPr>
        <w:widowControl w:val="0"/>
        <w:spacing w:line="208" w:lineRule="exact"/>
        <w:rPr>
          <w:sz w:val="17"/>
          <w:szCs w:val="17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77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61" w:line="256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Волгоградской области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8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7-я Гвардейская, д. 12, Волгоград, 400005 тел. (8442) 24-22-65, факс (8442) 24-22-76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"mailto:to34@fas.gov.ru"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to34@fas.gov.ru</w:t>
      </w:r>
      <w:r>
        <w:fldChar w:fldCharType="end"/>
      </w:r>
    </w:p>
    <w:p>
      <w:pPr>
        <w:pStyle w:val="Style7"/>
        <w:widowControl w:val="0"/>
        <w:keepNext/>
        <w:keepLines/>
        <w:shd w:val="clear" w:color="auto" w:fill="auto"/>
        <w:bidi w:val="0"/>
        <w:jc w:val="left"/>
        <w:spacing w:before="0" w:after="84" w:line="420" w:lineRule="exact"/>
        <w:ind w:left="40" w:right="0" w:firstLine="0"/>
      </w:pPr>
      <w:bookmarkStart w:id="0" w:name="bookmark0"/>
      <w:r>
        <w:rPr>
          <w:rStyle w:val="CharStyle9"/>
          <w:i/>
          <w:iCs/>
        </w:rPr>
        <w:t>tb.QUf)Li</w:t>
      </w:r>
      <w:r>
        <w:rPr>
          <w:rStyle w:val="CharStyle10"/>
          <w:i w:val="0"/>
          <w:iCs w:val="0"/>
        </w:rPr>
        <w:t xml:space="preserve"> </w:t>
      </w:r>
      <w:r>
        <w:rPr>
          <w:rStyle w:val="CharStyle11"/>
          <w:i w:val="0"/>
          <w:iCs w:val="0"/>
        </w:rPr>
        <w:t xml:space="preserve">№ </w:t>
      </w:r>
      <w:r>
        <w:rPr>
          <w:rStyle w:val="CharStyle12"/>
          <w:i w:val="0"/>
          <w:iCs w:val="0"/>
        </w:rPr>
        <w:t>QM</w:t>
      </w:r>
      <w:r>
        <w:rPr>
          <w:rStyle w:val="CharStyle9"/>
          <w:lang w:val="ru-RU" w:eastAsia="ru-RU" w:bidi="ru-RU"/>
          <w:i/>
          <w:iCs/>
        </w:rPr>
        <w:t>НОЮ</w:t>
      </w:r>
      <w:bookmarkEnd w:id="0"/>
    </w:p>
    <w:p>
      <w:pPr>
        <w:pStyle w:val="Style13"/>
        <w:tabs>
          <w:tab w:leader="none" w:pos="2060" w:val="center"/>
        </w:tabs>
        <w:widowControl w:val="0"/>
        <w:keepNext w:val="0"/>
        <w:keepLines w:val="0"/>
        <w:shd w:val="clear" w:color="auto" w:fill="auto"/>
        <w:bidi w:val="0"/>
        <w:spacing w:before="0" w:after="0" w:line="200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№</w:t>
        <w:tab/>
        <w:t>от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Заявитель: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246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ООО «Техстройпартнер» ул. Власихинская, д. 49/1, оф. 141, Барнаул, 656016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bolshunov </w:t>
      </w:r>
      <w:r>
        <w:fldChar w:fldCharType="begin"/>
      </w:r>
      <w:r>
        <w:rPr>
          <w:color w:val="000000"/>
        </w:rPr>
        <w:instrText> HYPERLINK "mailto:1990@bk.ru" </w:instrText>
      </w:r>
      <w:r>
        <w:fldChar w:fldCharType="separate"/>
      </w:r>
      <w:r>
        <w:rPr>
          <w:rStyle w:val="Hyperlink"/>
          <w:lang w:val="ru-RU" w:eastAsia="ru-RU" w:bidi="ru-RU"/>
          <w:sz w:val="24"/>
          <w:szCs w:val="24"/>
          <w:w w:val="100"/>
          <w:spacing w:val="0"/>
          <w:position w:val="0"/>
        </w:rPr>
        <w:t>1</w:t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990@bk.ru</w:t>
      </w:r>
      <w:r>
        <w:fldChar w:fldCharType="end"/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0" w:line="27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Заказчик: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0" w:line="27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Администрация Новониколаевского муниципального района Волгоградской области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0" w:line="27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ул. Народная, 77,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0" w:line="27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р.п. Новониколаевский, Волгоградская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0" w:line="27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обл., 403901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237" w:line="270" w:lineRule="exact"/>
        <w:ind w:left="20" w:right="0" w:firstLine="0"/>
      </w:pPr>
      <w:r>
        <w:fldChar w:fldCharType="begin"/>
      </w:r>
      <w:r>
        <w:rPr>
          <w:color w:val="000000"/>
        </w:rPr>
        <w:instrText> HYPERLINK "mailto:ra_novnik@volganet.ru" </w:instrText>
      </w:r>
      <w:r>
        <w:fldChar w:fldCharType="separate"/>
      </w:r>
      <w:r>
        <w:rPr>
          <w:rStyle w:val="Hyperlink"/>
          <w:w w:val="100"/>
          <w:spacing w:val="0"/>
          <w:position w:val="0"/>
        </w:rPr>
        <w:t>ra_novnik@volganet.ru</w:t>
      </w:r>
      <w:r>
        <w:fldChar w:fldCharType="end"/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Уполномоченный орган: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ГКУ Волгоградской области «Цент организации закупок» ул. Новороссийская, д. 15,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240" w:line="274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Волгоград, 400066 </w:t>
      </w:r>
      <w:r>
        <w:fldChar w:fldCharType="begin"/>
      </w:r>
      <w:r>
        <w:rPr>
          <w:color w:val="000000"/>
        </w:rPr>
        <w:instrText> HYPERLINK "mailto:coz@volganet.ru"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coz@volganet.ru</w:t>
      </w:r>
      <w:r>
        <w:fldChar w:fldCharType="end"/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Оператор электронной площадки: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0" w:firstLine="0"/>
        <w:sectPr>
          <w:type w:val="continuous"/>
          <w:pgSz w:w="11906" w:h="16838"/>
          <w:pgMar w:top="1172" w:left="914" w:right="2527" w:bottom="1201" w:header="0" w:footer="3" w:gutter="0"/>
          <w:rtlGutter w:val="0"/>
          <w:cols w:num="2" w:space="292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Акционерное общество «Электронные торговые системы» ул. Тестовская, д. 10, Москва, 123112 </w:t>
      </w:r>
      <w:r>
        <w:fldChar w:fldCharType="begin"/>
      </w:r>
      <w:r>
        <w:rPr>
          <w:color w:val="000000"/>
        </w:rPr>
        <w:instrText> HYPERLINK "mailto:auditors@etpz.ru"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auditors@etpz.ru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79" w:after="79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287" w:line="299" w:lineRule="exact"/>
        <w:ind w:left="1920" w:right="2160" w:firstLine="22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 по делу № 034/06/105-102/2021 о нарушении законодательства о контрактной системе</w:t>
      </w:r>
    </w:p>
    <w:p>
      <w:pPr>
        <w:pStyle w:val="Style17"/>
        <w:tabs>
          <w:tab w:leader="none" w:pos="9794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56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11 февраля 2021 года</w:t>
        <w:tab/>
        <w:t>Волгоград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20" w:right="260" w:firstLine="700"/>
        <w:sectPr>
          <w:type w:val="continuous"/>
          <w:pgSz w:w="11906" w:h="16838"/>
          <w:pgMar w:top="1172" w:left="929" w:right="889" w:bottom="1201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Управления Федеральной антимонопольной службы по Волгоградской области (далее - Управление) по контролю за соблюдением законодательства о контрактной системе в составе: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7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Литвинова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>P.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А. - председателя Комиссии, начальника отдела контроля государственных и муниципальных закупок, недобросовестной конкуренции и рекламы;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7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Моисеева С.В. - председателя Комиссии, заместителя начальника отдела контроля государственных и муниципальных закупок, недобросовестной конкуренции и рекламы;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0" w:line="299" w:lineRule="exact"/>
        <w:ind w:left="40" w:right="40" w:firstLine="7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Гейбатовой А.Д. - члена Комиссии, старшего государственного инспектора отдела контроля государственных и муниципальных закупок, недобросовестной конкуренции и рекламы, с участием: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7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Зосимовой Е.В. - представителя ГКУ Волгоградской области «Центр организации закупок» на основании доверенности от 10.01.2020 № 1;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587" w:line="299" w:lineRule="exact"/>
        <w:ind w:left="40" w:right="40" w:firstLine="7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Бражникова А.М. - заместителя главы администрации Новониколаевского муниципального района Волгоградской области на основании распоряжения № 139-рл, рассмотрев жалобу ООО «Техстройпартнер» вх. № 1070 от 05.02.2021 на положения документации при проведении закупки «Выполнение работ по объекту: «Реконструкция сетей водоснабжения р.п.Новониколаевский Волгоградской области»» (номер извещения 0329200062221000065),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257" w:line="240" w:lineRule="exact"/>
        <w:ind w:left="438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УСТАНОВИЛА: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8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Управление 05.02.2021 вх. № 1070 поступила жалоба ООО «Техстройпартнер» (далее - Заявитель) на положения документации при проведении закупки «Выполнение работ по объекту: «Реконструкция сетей водоснабжения р.п.Новониколаевский Волгоградской области»» (номер извещения 0329200062221000065).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8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Изучив доводы сторон, ознакомившись с представленными документами, и проведя внеплановую проверку в соответствии с ч. 15 ст.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Комиссия Управления пришла к следующим выводам.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8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На официальном сайте </w:t>
      </w:r>
      <w:r>
        <w:fldChar w:fldCharType="begin"/>
      </w:r>
      <w:r>
        <w:rPr>
          <w:color w:val="000000"/>
        </w:rPr>
        <w:instrText> HYPERLINK "http://www.zakupki.gov.ru"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www.zakupki.gov.ru</w:t>
      </w:r>
      <w:r>
        <w:fldChar w:fldCharType="end"/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(далее - ЕИС) 29.01.2021 были опубликованы извещение и документация о проведении закупки «Реконструкция сетей водоснабжения р.п.Новониколаевский Волгоградской области»» (номер извещения 0329200062221000065). Заказчик - администрация Новониколаевского муниципального района Волгоградской области (далее - Заказчик). Начальная (максимальная) цена контракта 60 318 901,20 российских рублей (далее - НМЦК). На этапе рассмотрения первых частей заявок, приняло участие 3 участника. До участия в электронном аукционе было допущено 2 участника. По итогам проведения аукциона снижение НМЦК составило </w:t>
      </w:r>
      <w:r>
        <w:rPr>
          <w:rStyle w:val="CharStyle19"/>
        </w:rPr>
        <w:t>11%.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8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первому доводу жалобы в проекте контракта отсутствует условие о том, что результатом выполненной работы по контракту является реконструированный объект капитального строительства, в отношении которого получено заключение органа государственного строительного надзора.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0" w:firstLine="8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части данного довода комиссия установила следующее.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8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частью 4 статьи 110.2 Закона о контрактной системе результатом выполненной работы по контракту, предметом которого является строительство, реконструкция объекта капитального строительства, является построенный и (или) реконструированный объект капитального строительства, в отношении которого получено заключение органа государственного строительного надзора о соответствии построенного и (или) реконструированного объекта капитального строительства требованиям технических регламентов и проектной документации,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8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абзаце 3 Раздела «Общие положения» проекта контракта установлено, что результатом выполненной работы по контракту, предметом которого являются строительство, реконструкция объекта капитального строительства, является построенный и (или) реконструированный объект капитального строительства, в отношении которого получено заключение органа государственного строительного надзора о соответствии построенного и (или) реконструированного объекта капитального строительства требованиям технических регламентов и проектной документации,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ресурсов, и заключение федерального государственного экологического надзора в случаях, предусмотренных частью 7 статьи 54 Градостроительного кодекса Российской Федерации.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8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настоящем случае проект контракта содержит условие о заключении органа государственного строительного надзора о соответствии построенного объекта капитального строительства требованиям проектной документации, в связи с чем довод не находит своего подтверждения и является необоснованным.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8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следующему доводу жалобы указанный в документации об аукционе график выполнения работ не учитывает требования приказа Минстроя России от 05.06.2018 № 336/пр «Об утверждении Методики составления графика выполнения строительно-монтажных работ и графика оплаты выполненных по контракту (договору), предметом которого являются строительство, реконструкция объектов капитального строительства, работ».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0" w:firstLine="8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части данного довода комиссия установила следующее.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8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Методике составления графика выполнения строительно-монтажных работ и графика оплаты выполненных по контракту (договору), предметом которого являются строительство, реконструкция объектов капитального строительства, работ, утвержденной приказом Минстроя России от 05.06.2018 № 336/пр (далее - Приказ № 336/пр, Методика) установлено, что дополнительно под табличной частью графика выполнения работ до полей для подписания его сторонами контракта в графике выполнения работ должны быть отражены даты, не позднее которых должны состояться следующие события:</w:t>
      </w:r>
    </w:p>
    <w:p>
      <w:pPr>
        <w:pStyle w:val="Style17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8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подписание сторонами акта о соответствии состояния земельного участка (объекта капитального строительства, подлежащего реконструкции) условиям контракта;</w:t>
      </w:r>
    </w:p>
    <w:p>
      <w:pPr>
        <w:pStyle w:val="Style17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8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передача подрядчику копии разрешения на строительство, реконструкцию объекта; копии решения собственника имущества о его сносе (при необходимости); копии разрешения на вырубку зеленых и лесных насаждений; копии технических условий и разрешений на временное присоединение объекта к сетям инженерно- технического обеспечения в соответствии с проектом организации строительства;</w:t>
      </w:r>
    </w:p>
    <w:p>
      <w:pPr>
        <w:pStyle w:val="Style17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8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передача подрядчику копий документов, подтверждающих согласование производства отдельных работ, если необходимость такого согласования установлена законодательством Российской Федерации;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20" w:firstLine="8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- подписание акта о соответствии состояния земельного участка условиям контракта при завершении строительства, реконструкции объекта.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20" w:firstLine="8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Из представленных документов и информации, размещенной в ЕИС, установлено, что в графике строительно-монтажных работ по объекту капитального строительства: «Выполнение работ по объекту: «Реконструкция сетей водоснабжения р.п.Новониколаевский Волгоградской области»» Приложения № 4 к контракту, сведения, предусмотренные Методикой, утвержденные Приказом № 336/пр содержатся в полном объеме, в связи с чем довод не находит своего подтверждения и является необоснованным.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20" w:firstLine="8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качестве следующего довода жалобы Заявитель указывает на отсутствие в составе аукционной документации проекта сметы контракта, предусмотренного приказом Министерства строительства и жилищно-коммунального хозяйства Российской Федерации от 23 декабря 2019 г. № 841/пр «Об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 при осуществлении закупок в сфере градостроительной деятельности (за исключением территориального планирования) и Методики составления сметы контракта, предметом которого являются строительство, реконструкция объектов капитального строительства» (далее - Приказ № 841/пр).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0" w:firstLine="8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части данного довода комиссия установила следующее.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20" w:firstLine="8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ч. 6.1 ст. 110.2 Закона о контрактной системе оплата выполненных работ осуществляется в пределах цены контрактов, предметом которых являются строительство, реконструкция объектов капитального строительства, в соответствии с их сметой в сроки и в размерах, которые установлены таким контрактом или графиком оплаты выполненных по контракту работ (при наличии) с учетом графика выполнения строительно-монтажных работ и фактически выполненных подрядчиком работ. При этом составление сметы такого контракта осуществляется в пределах цены контракта без использования предусмотренных проектной документацией в соответствии с Градостроительным кодексом Российской Федерации сметных нормативов, сведения о которых включены в федеральный реестр сметных нормативов, и сметных цен строительных ресурсов.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20" w:firstLine="8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п. 2 приложения 2 «Методика составления сметы контракта, предметом которого являются строительство, реконструкция объектов капитального строительства» к приказу Министерства строительства и жилищно-коммунального хозяйства Российской Федерации от 23 декабря 2019 года № 841/пр (далее - Методика) смета контракта на выполнение подрядных работ по строительству некапитальных строений и сооружений, а также других подрядных работ, указанных в разделе VI порядка 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 при осуществлении закупок в сфере градостроительной деятельности (за исключением территориального планирования) (далее - Порядок), по соглашению сторон контракта может быть составлена в соответствии с Методикой, если в составе документации о закупке размещен проект сметы контракта.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20" w:firstLine="8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Пунктом 4 Методики установлено, что при осуществлении закупки подрядных работ по строительству и реконструкции путем проведения конкурентных способов определения подрядчиков смета контракта составляется заказчиком на основании размещенного в единой информационной системе в сфере закупок в порядке, установленном в порядке, проекта сметы контракта посредством указания цены каждого конструктивного решения (элемента), комплекса (вида) работ с учетом пропорционального снижения начальной (максимальной) цены контракта участником закупки, с которым заключается контракт.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40" w:firstLine="8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п. 8 ч. 1 ст. 33 Закона о контрактной системе заказчик при описании в документации о закупке объекта закупки должен руководствоваться, в том числе, следующим правилом: документация о закупке при осуществлении закупки работ по строительству, реконструкции, капитальному ремонту, сносу объекта капитального строительства должна содержать проектную документацию, утвержденную в порядке, установленном законодательством о градостроительной деятельности, за исключением случая, если подготовка проектной документации в соответствии с указанным законодательством не требуется, а также случаев осуществления закупки в соответствии с частями 16 и 16.1 статьи 34 Закона о контрактной системе, при которых предметом контракта является в том числе проектирование объекта капитального строительства. Включение проектной документации в документацию о закупке в соответствии с настоящим пунктом является надлежащим исполнением требований пунктов 1-3 части 33 Закона о контрактной системе.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40" w:firstLine="8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Учитывая вышеизложенное, Комиссия приходит к выводу, что проектом сметы контракта являются размещенные в ЕИС в составе проектной документации сметы.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40" w:firstLine="8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связи с чем, довод Заявителя также не находит своего подтверждения и является необоснованным.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287" w:line="299" w:lineRule="exact"/>
        <w:ind w:left="20" w:right="40" w:firstLine="8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Руководствуясь главой 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Комиссия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center"/>
        <w:spacing w:before="0" w:after="567" w:line="240" w:lineRule="exact"/>
        <w:ind w:left="2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РЕШИЛА: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884" w:line="295" w:lineRule="exact"/>
        <w:ind w:left="20" w:right="40" w:firstLine="8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Признать жалобу ООО «Техстройпартнер» вх. № 1070 от 05.02.2021 на положения документации при проведении закупки «Выполнение работ по объекту: «Реконструкция сетей водоснабжения р.п.Новониколаевский Волгоградской области»» (номер извещения 0329200062221000065) необоснованной.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300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Председатель Комиссии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857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Члены Комиссии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1444" w:line="302" w:lineRule="exact"/>
        <w:ind w:left="220" w:right="40" w:firstLine="7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 Комиссии может быть обжаловано в Арбитражный суд Волгоградской области в течение трех месяцев со дня его принятия.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40" w:right="84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Гейбатова А.Д. </w:t>
      </w:r>
      <w:r>
        <w:rPr>
          <w:rStyle w:val="CharStyle22"/>
        </w:rPr>
        <w:t>24</w:t>
      </w:r>
      <w:r>
        <w:rPr>
          <w:rStyle w:val="CharStyle23"/>
        </w:rPr>
        <w:t>-</w:t>
      </w:r>
      <w:r>
        <w:rPr>
          <w:rStyle w:val="CharStyle22"/>
        </w:rPr>
        <w:t>22-64</w:t>
      </w:r>
      <w:r>
        <w:br w:type="page"/>
      </w:r>
    </w:p>
    <w:sectPr>
      <w:type w:val="continuous"/>
      <w:pgSz w:w="11906" w:h="16838"/>
      <w:pgMar w:top="1302" w:left="1014" w:right="985" w:bottom="834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6">
    <w:name w:val="Основной текст (3)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8">
    <w:name w:val="Заголовок №1_"/>
    <w:basedOn w:val="DefaultParagraphFont"/>
    <w:link w:val="Style7"/>
    <w:rPr>
      <w:lang w:val="en-US" w:eastAsia="en-US" w:bidi="en-US"/>
      <w:b w:val="0"/>
      <w:bCs w:val="0"/>
      <w:i/>
      <w:iCs/>
      <w:u w:val="none"/>
      <w:strike w:val="0"/>
      <w:smallCaps w:val="0"/>
      <w:sz w:val="36"/>
      <w:szCs w:val="36"/>
      <w:rFonts w:ascii="Times New Roman" w:eastAsia="Times New Roman" w:hAnsi="Times New Roman" w:cs="Times New Roman"/>
      <w:w w:val="70"/>
      <w:spacing w:val="30"/>
    </w:rPr>
  </w:style>
  <w:style w:type="character" w:customStyle="1" w:styleId="CharStyle9">
    <w:name w:val="Заголовок №1"/>
    <w:basedOn w:val="CharStyle8"/>
    <w:rPr>
      <w:u w:val="single"/>
      <w:color w:val="000000"/>
      <w:position w:val="0"/>
    </w:rPr>
  </w:style>
  <w:style w:type="character" w:customStyle="1" w:styleId="CharStyle10">
    <w:name w:val="Заголовок №1 + 21 pt,Полужирный,Не курсив,Интервал -1 pt,Масштаб 100%"/>
    <w:basedOn w:val="CharStyle8"/>
    <w:rPr>
      <w:b/>
      <w:bCs/>
      <w:i/>
      <w:iCs/>
      <w:sz w:val="42"/>
      <w:szCs w:val="42"/>
      <w:w w:val="100"/>
      <w:spacing w:val="-30"/>
      <w:color w:val="000000"/>
      <w:position w:val="0"/>
    </w:rPr>
  </w:style>
  <w:style w:type="character" w:customStyle="1" w:styleId="CharStyle11">
    <w:name w:val="Заголовок №1 + 21 pt,Полужирный,Не курсив,Интервал -1 pt,Масштаб 100%"/>
    <w:basedOn w:val="CharStyle8"/>
    <w:rPr>
      <w:lang w:val="ru-RU" w:eastAsia="ru-RU" w:bidi="ru-RU"/>
      <w:b/>
      <w:bCs/>
      <w:i/>
      <w:iCs/>
      <w:sz w:val="42"/>
      <w:szCs w:val="42"/>
      <w:w w:val="100"/>
      <w:spacing w:val="-30"/>
      <w:color w:val="000000"/>
      <w:position w:val="0"/>
    </w:rPr>
  </w:style>
  <w:style w:type="character" w:customStyle="1" w:styleId="CharStyle12">
    <w:name w:val="Заголовок №1 + 21 pt,Полужирный,Не курсив,Интервал -1 pt,Масштаб 100%"/>
    <w:basedOn w:val="CharStyle8"/>
    <w:rPr>
      <w:b/>
      <w:bCs/>
      <w:i/>
      <w:iCs/>
      <w:u w:val="single"/>
      <w:sz w:val="42"/>
      <w:szCs w:val="42"/>
      <w:w w:val="100"/>
      <w:spacing w:val="-30"/>
      <w:color w:val="000000"/>
      <w:position w:val="0"/>
    </w:rPr>
  </w:style>
  <w:style w:type="character" w:customStyle="1" w:styleId="CharStyle14">
    <w:name w:val="Основной текст (4)_"/>
    <w:basedOn w:val="DefaultParagraphFont"/>
    <w:link w:val="Style13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16">
    <w:name w:val="Основной текст (5)_"/>
    <w:basedOn w:val="DefaultParagraphFont"/>
    <w:link w:val="Style15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18">
    <w:name w:val="Основной текст_"/>
    <w:basedOn w:val="DefaultParagraphFont"/>
    <w:link w:val="Style17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9">
    <w:name w:val="Основной текст"/>
    <w:basedOn w:val="CharStyle18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21">
    <w:name w:val="Основной текст (6)_"/>
    <w:basedOn w:val="DefaultParagraphFont"/>
    <w:link w:val="Style20"/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22">
    <w:name w:val="Основной текст (6) + 9 pt"/>
    <w:basedOn w:val="CharStyle21"/>
    <w:rPr>
      <w:lang w:val="ru-RU" w:eastAsia="ru-RU" w:bidi="ru-RU"/>
      <w:sz w:val="18"/>
      <w:szCs w:val="18"/>
      <w:w w:val="100"/>
      <w:spacing w:val="0"/>
      <w:color w:val="000000"/>
      <w:position w:val="0"/>
    </w:rPr>
  </w:style>
  <w:style w:type="character" w:customStyle="1" w:styleId="CharStyle23">
    <w:name w:val="Основной текст (6) + 4 pt"/>
    <w:basedOn w:val="CharStyle21"/>
    <w:rPr>
      <w:lang w:val="ru-RU" w:eastAsia="ru-RU" w:bidi="ru-RU"/>
      <w:sz w:val="8"/>
      <w:szCs w:val="8"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after="180" w:line="252" w:lineRule="exact"/>
    </w:pPr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FFFFFF"/>
      <w:jc w:val="center"/>
      <w:spacing w:before="120" w:after="180" w:line="205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7">
    <w:name w:val="Заголовок №1"/>
    <w:basedOn w:val="Normal"/>
    <w:link w:val="CharStyle8"/>
    <w:pPr>
      <w:widowControl w:val="0"/>
      <w:shd w:val="clear" w:color="auto" w:fill="FFFFFF"/>
      <w:outlineLvl w:val="0"/>
      <w:spacing w:before="180" w:after="180" w:line="0" w:lineRule="exact"/>
    </w:pPr>
    <w:rPr>
      <w:lang w:val="en-US" w:eastAsia="en-US" w:bidi="en-US"/>
      <w:b w:val="0"/>
      <w:bCs w:val="0"/>
      <w:i/>
      <w:iCs/>
      <w:u w:val="none"/>
      <w:strike w:val="0"/>
      <w:smallCaps w:val="0"/>
      <w:sz w:val="36"/>
      <w:szCs w:val="36"/>
      <w:rFonts w:ascii="Times New Roman" w:eastAsia="Times New Roman" w:hAnsi="Times New Roman" w:cs="Times New Roman"/>
      <w:w w:val="70"/>
      <w:spacing w:val="30"/>
    </w:rPr>
  </w:style>
  <w:style w:type="paragraph" w:customStyle="1" w:styleId="Style13">
    <w:name w:val="Основной текст (4)"/>
    <w:basedOn w:val="Normal"/>
    <w:link w:val="CharStyle14"/>
    <w:pPr>
      <w:widowControl w:val="0"/>
      <w:shd w:val="clear" w:color="auto" w:fill="FFFFFF"/>
      <w:jc w:val="both"/>
      <w:spacing w:before="180" w:line="0" w:lineRule="exact"/>
    </w:pPr>
    <w:rPr>
      <w:lang w:val="en-US" w:eastAsia="en-US" w:bidi="en-US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15">
    <w:name w:val="Основной текст (5)"/>
    <w:basedOn w:val="Normal"/>
    <w:link w:val="CharStyle16"/>
    <w:pPr>
      <w:widowControl w:val="0"/>
      <w:shd w:val="clear" w:color="auto" w:fill="FFFFFF"/>
      <w:spacing w:line="277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17">
    <w:name w:val="Основной текст"/>
    <w:basedOn w:val="Normal"/>
    <w:link w:val="CharStyle18"/>
    <w:pPr>
      <w:widowControl w:val="0"/>
      <w:shd w:val="clear" w:color="auto" w:fill="FFFFFF"/>
      <w:spacing w:after="240" w:line="277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20">
    <w:name w:val="Основной текст (6)"/>
    <w:basedOn w:val="Normal"/>
    <w:link w:val="CharStyle21"/>
    <w:pPr>
      <w:widowControl w:val="0"/>
      <w:shd w:val="clear" w:color="auto" w:fill="FFFFFF"/>
      <w:spacing w:before="1380" w:line="223" w:lineRule="exact"/>
    </w:pPr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