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0"/>
        <w:ind w:left="5320" w:right="280" w:firstLine="0"/>
      </w:pPr>
      <w:r>
        <w:rPr>
          <w:lang w:val="ru-RU" w:eastAsia="ru-RU" w:bidi="ru-RU"/>
          <w:w w:val="100"/>
          <w:spacing w:val="0"/>
          <w:color w:val="000000"/>
          <w:position w:val="0"/>
        </w:rPr>
        <w:t>ГБУ «Автомобильные дороги Южного административного округа»</w:t>
      </w:r>
    </w:p>
    <w:p>
      <w:pPr>
        <w:pStyle w:val="Style5"/>
        <w:widowControl w:val="0"/>
        <w:keepNext w:val="0"/>
        <w:keepLines w:val="0"/>
        <w:shd w:val="clear" w:color="auto" w:fill="auto"/>
        <w:bidi w:val="0"/>
        <w:jc w:val="left"/>
        <w:spacing w:before="0" w:after="349"/>
        <w:ind w:left="5320" w:right="280" w:firstLine="0"/>
      </w:pPr>
      <w:r>
        <w:rPr>
          <w:lang w:val="ru-RU" w:eastAsia="ru-RU" w:bidi="ru-RU"/>
          <w:w w:val="100"/>
          <w:spacing w:val="0"/>
          <w:color w:val="000000"/>
          <w:position w:val="0"/>
        </w:rPr>
        <w:t>2-й Котляковский пер., д. 12, г. Москва, 115201</w:t>
      </w:r>
    </w:p>
    <w:p>
      <w:pPr>
        <w:pStyle w:val="Style5"/>
        <w:widowControl w:val="0"/>
        <w:keepNext w:val="0"/>
        <w:keepLines w:val="0"/>
        <w:shd w:val="clear" w:color="auto" w:fill="auto"/>
        <w:bidi w:val="0"/>
        <w:jc w:val="left"/>
        <w:spacing w:before="0" w:after="308" w:line="260" w:lineRule="exact"/>
        <w:ind w:left="5320" w:right="0" w:firstLine="0"/>
      </w:pPr>
      <w:r>
        <w:rPr>
          <w:lang w:val="ru-RU" w:eastAsia="ru-RU" w:bidi="ru-RU"/>
          <w:w w:val="100"/>
          <w:spacing w:val="0"/>
          <w:color w:val="000000"/>
          <w:position w:val="0"/>
        </w:rPr>
        <w:t>ГКУ «Дирекция ЖКХиБ ЮАО»</w:t>
      </w:r>
    </w:p>
    <w:p>
      <w:pPr>
        <w:pStyle w:val="Style5"/>
        <w:widowControl w:val="0"/>
        <w:keepNext w:val="0"/>
        <w:keepLines w:val="0"/>
        <w:shd w:val="clear" w:color="auto" w:fill="auto"/>
        <w:bidi w:val="0"/>
        <w:jc w:val="left"/>
        <w:spacing w:before="0" w:after="349"/>
        <w:ind w:left="5320" w:right="280" w:firstLine="0"/>
      </w:pPr>
      <w:r>
        <w:rPr>
          <w:lang w:val="ru-RU" w:eastAsia="ru-RU" w:bidi="ru-RU"/>
          <w:w w:val="100"/>
          <w:spacing w:val="0"/>
          <w:color w:val="000000"/>
          <w:position w:val="0"/>
        </w:rPr>
        <w:t>Шипиловский пр-д., д. 43/5, г. Москва, 115551</w:t>
      </w:r>
    </w:p>
    <w:p>
      <w:pPr>
        <w:pStyle w:val="Style5"/>
        <w:widowControl w:val="0"/>
        <w:keepNext w:val="0"/>
        <w:keepLines w:val="0"/>
        <w:shd w:val="clear" w:color="auto" w:fill="auto"/>
        <w:bidi w:val="0"/>
        <w:jc w:val="left"/>
        <w:spacing w:before="0" w:after="312" w:line="260" w:lineRule="exact"/>
        <w:ind w:left="5320" w:right="0" w:firstLine="0"/>
      </w:pPr>
      <w:r>
        <w:rPr>
          <w:lang w:val="ru-RU" w:eastAsia="ru-RU" w:bidi="ru-RU"/>
          <w:w w:val="100"/>
          <w:spacing w:val="0"/>
          <w:color w:val="000000"/>
          <w:position w:val="0"/>
        </w:rPr>
        <w:t>ООО «Оливер Трейд»</w:t>
      </w:r>
    </w:p>
    <w:p>
      <w:pPr>
        <w:pStyle w:val="Style5"/>
        <w:widowControl w:val="0"/>
        <w:keepNext w:val="0"/>
        <w:keepLines w:val="0"/>
        <w:shd w:val="clear" w:color="auto" w:fill="auto"/>
        <w:bidi w:val="0"/>
        <w:jc w:val="both"/>
        <w:spacing w:before="0" w:after="844" w:line="317" w:lineRule="exact"/>
        <w:ind w:left="5320" w:right="700" w:firstLine="0"/>
      </w:pPr>
      <w:r>
        <w:rPr>
          <w:lang w:val="ru-RU" w:eastAsia="ru-RU" w:bidi="ru-RU"/>
          <w:w w:val="100"/>
          <w:spacing w:val="0"/>
          <w:color w:val="000000"/>
          <w:position w:val="0"/>
        </w:rPr>
        <w:t>Московское ш., д. 3, корп. а, оф. 21, г. Сергиев Посад, Московская обл., 141300</w:t>
      </w:r>
    </w:p>
    <w:p>
      <w:pPr>
        <w:pStyle w:val="Style7"/>
        <w:tabs>
          <w:tab w:leader="none" w:pos="11191" w:val="left"/>
        </w:tabs>
        <w:widowControl w:val="0"/>
        <w:keepNext w:val="0"/>
        <w:keepLines w:val="0"/>
        <w:shd w:val="clear" w:color="auto" w:fill="auto"/>
        <w:bidi w:val="0"/>
        <w:jc w:val="left"/>
        <w:spacing w:before="0" w:after="0"/>
        <w:ind w:left="2340" w:right="2300" w:firstLine="2040"/>
      </w:pPr>
      <w:r>
        <w:rPr>
          <w:lang w:val="ru-RU" w:eastAsia="ru-RU" w:bidi="ru-RU"/>
          <w:w w:val="100"/>
          <w:spacing w:val="0"/>
          <w:color w:val="000000"/>
          <w:position w:val="0"/>
        </w:rPr>
        <w:t>РЕШЕНИЕ по делу №077/06/106-2196/2021 о нарушении Законодательства о контрактной системе</w:t>
      </w:r>
    </w:p>
    <w:p>
      <w:pPr>
        <w:pStyle w:val="Style7"/>
        <w:numPr>
          <w:ilvl w:val="0"/>
          <w:numId w:val="1"/>
        </w:numPr>
        <w:tabs>
          <w:tab w:leader="none" w:pos="8874" w:val="left"/>
          <w:tab w:leader="none" w:pos="8876"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г. Москва</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12" w:lineRule="exact"/>
        <w:ind w:left="2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Специалиста 1 разряда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Специалиста 1 разряда отдела обжалования государственных закупок А.А. Матюшенко,</w:t>
      </w:r>
    </w:p>
    <w:p>
      <w:pPr>
        <w:pStyle w:val="Style5"/>
        <w:tabs>
          <w:tab w:leader="none" w:pos="577" w:val="left"/>
        </w:tabs>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рассмотрение жалобы проводилось дистанционно (посредством конференц</w:t>
        <w:softHyphen/>
        <w:t>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при участии представителей: ГКУ «Дирекция ЖКХиБ ЮАО», ООО «Оливер Трейд»,</w:t>
      </w:r>
    </w:p>
    <w:p>
      <w:pPr>
        <w:pStyle w:val="Style3"/>
        <w:framePr w:w="1349" w:h="427" w:wrap="around" w:vAnchor="text" w:hAnchor="margin" w:x="351" w:y="1211"/>
        <w:widowControl w:val="0"/>
        <w:keepNext w:val="0"/>
        <w:keepLines w:val="0"/>
        <w:shd w:val="clear" w:color="auto" w:fill="auto"/>
        <w:bidi w:val="0"/>
        <w:jc w:val="left"/>
        <w:spacing w:before="0" w:after="0" w:line="240" w:lineRule="auto"/>
        <w:ind w:left="0" w:right="0" w:firstLine="0"/>
      </w:pPr>
      <w:r>
        <w:rPr>
          <w:w w:val="100"/>
          <w:spacing w:val="0"/>
          <w:color w:val="000000"/>
          <w:position w:val="0"/>
        </w:rPr>
        <w:t>001823444766</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отсутствие представителей ГБУ «Автомобильные дороги Южного административного округа», о времени и порядке заседания Комиссии Управления уведомленных надлежащим образом письмом Московского УФАС России от</w:t>
      </w:r>
      <w:r>
        <w:br w:type="page"/>
      </w:r>
    </w:p>
    <w:p>
      <w:pPr>
        <w:pStyle w:val="Style5"/>
        <w:numPr>
          <w:ilvl w:val="0"/>
          <w:numId w:val="3"/>
        </w:numPr>
        <w:tabs>
          <w:tab w:leader="none" w:pos="1384" w:val="left"/>
        </w:tabs>
        <w:widowControl w:val="0"/>
        <w:keepNext w:val="0"/>
        <w:keepLines w:val="0"/>
        <w:shd w:val="clear" w:color="auto" w:fill="auto"/>
        <w:bidi w:val="0"/>
        <w:jc w:val="both"/>
        <w:spacing w:before="0" w:after="0" w:line="312" w:lineRule="exact"/>
        <w:ind w:left="20" w:right="0" w:firstLine="0"/>
      </w:pPr>
      <w:r>
        <w:rPr>
          <w:lang w:val="ru-RU" w:eastAsia="ru-RU" w:bidi="ru-RU"/>
          <w:w w:val="100"/>
          <w:spacing w:val="0"/>
          <w:color w:val="000000"/>
          <w:position w:val="0"/>
        </w:rPr>
        <w:t>№ ЕИ/6807/21,</w:t>
      </w:r>
    </w:p>
    <w:p>
      <w:pPr>
        <w:pStyle w:val="Style5"/>
        <w:widowControl w:val="0"/>
        <w:keepNext w:val="0"/>
        <w:keepLines w:val="0"/>
        <w:shd w:val="clear" w:color="auto" w:fill="auto"/>
        <w:bidi w:val="0"/>
        <w:jc w:val="both"/>
        <w:spacing w:before="0" w:after="342" w:line="312" w:lineRule="exact"/>
        <w:ind w:left="20" w:right="20" w:firstLine="700"/>
      </w:pPr>
      <w:r>
        <w:rPr>
          <w:lang w:val="ru-RU" w:eastAsia="ru-RU" w:bidi="ru-RU"/>
          <w:w w:val="100"/>
          <w:spacing w:val="0"/>
          <w:color w:val="000000"/>
          <w:position w:val="0"/>
        </w:rPr>
        <w:t>рассмотрев жалобу ООО «Оливер Трейд» (далее — Заявитель) на действия ГБУ «Автомобильные дороги Южного административного округа» (далее — Заказчик) при проведении электронного аукциона на право заключения государственного контракта на поставку концентрированного моющего средства для промывки асфальтобетонных и плиточных покрытий (Закупка № 0373200086721000023)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jc w:val="left"/>
        <w:spacing w:before="0" w:after="315"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08.02.2021 №ЕИ/6807/21, Комиссия Управления установила следующее.</w:t>
      </w:r>
    </w:p>
    <w:p>
      <w:pPr>
        <w:pStyle w:val="Style5"/>
        <w:tabs>
          <w:tab w:leader="none" w:pos="4004" w:val="left"/>
        </w:tabs>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Согласно протоколу рассмотрения заявок на участие в аукционе от 03.02.2021 №0373200086721000023-1 заявка Заявителя (идентификационный номер заявки 4) признана не соответствующей требованиям аукционной документации на следующем основании: «п. 2. ч. 4 ст. 67 - несоответствие информации, предусмотренной ч. 3 ст. 66 44-ФЗ, требованиям документации о таком аукционе: Отказать в допуске на участие в электронном аукционе на основании пункта 2 части 4 статьи 67 Федерального закона 44-ФЗ: несоответствие информации, предусмотренной частью 3 статьи 66 настоящего Федерального закона, требованиям документации о таком аукционе.В документации об электронном аукционе (Приложение № 1 к Техническому заданию) установлены характеристики товара: «Моющее средство для дорожных покрытий и элементов объектов дорожного хозяйстваконцентрированное»:</w:t>
        <w:tab/>
        <w:t>«Содержание анионных поверхностно-активных</w:t>
      </w:r>
    </w:p>
    <w:p>
      <w:pPr>
        <w:pStyle w:val="Style5"/>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веществ» - «&gt;= 15 &lt;30 %»; «Содержание катионных поверхностно-активных веществ» - «&gt;= 30 %»; «Содержание неиногенных поверхностно-активных веществ»</w:t>
      </w:r>
    </w:p>
    <w:p>
      <w:pPr>
        <w:pStyle w:val="Style5"/>
        <w:numPr>
          <w:ilvl w:val="0"/>
          <w:numId w:val="5"/>
        </w:numPr>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 xml:space="preserve"> «&gt;= 15 &lt;30 %»; «Содержание этилендиаминтетрауксусной кислоты и ее соли»</w:t>
      </w:r>
    </w:p>
    <w:p>
      <w:pPr>
        <w:pStyle w:val="Style5"/>
        <w:numPr>
          <w:ilvl w:val="0"/>
          <w:numId w:val="5"/>
        </w:numPr>
        <w:tabs>
          <w:tab w:leader="none" w:pos="409" w:val="left"/>
          <w:tab w:leader="none" w:pos="1215" w:val="left"/>
          <w:tab w:leader="none" w:pos="1810" w:val="center"/>
          <w:tab w:leader="none" w:pos="2199" w:val="lef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«&gt;=</w:t>
        <w:tab/>
        <w:t>15</w:t>
        <w:tab/>
        <w:t>&lt;</w:t>
        <w:tab/>
        <w:t>30 %».Первая часть заявки содержит показатели товара:</w:t>
      </w:r>
    </w:p>
    <w:p>
      <w:pPr>
        <w:pStyle w:val="Style5"/>
        <w:tabs>
          <w:tab w:leader="none" w:pos="4719" w:val="left"/>
          <w:tab w:leader="none" w:pos="5338" w:val="left"/>
          <w:tab w:leader="none" w:pos="5862" w:val="left"/>
          <w:tab w:leader="none" w:pos="6298" w:val="left"/>
          <w:tab w:leader="none" w:pos="6850" w:val="left"/>
          <w:tab w:leader="none" w:pos="7494" w:val="left"/>
          <w:tab w:leader="none" w:pos="8372" w:val="right"/>
          <w:tab w:leader="none" w:pos="9850" w:val="right"/>
        </w:tabs>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 xml:space="preserve">«УНИВЕРСАЛЬНОЕ КОНЦЕНТРИРОВАННОЕ МОЮЩЕЕ СРЕДСТВО </w:t>
      </w:r>
      <w:r>
        <w:rPr>
          <w:lang w:val="en-US" w:eastAsia="en-US" w:bidi="en-US"/>
          <w:w w:val="100"/>
          <w:spacing w:val="0"/>
          <w:color w:val="000000"/>
          <w:position w:val="0"/>
        </w:rPr>
        <w:t xml:space="preserve">GOODHIM </w:t>
      </w:r>
      <w:r>
        <w:rPr>
          <w:lang w:val="ru-RU" w:eastAsia="ru-RU" w:bidi="ru-RU"/>
          <w:w w:val="100"/>
          <w:spacing w:val="0"/>
          <w:color w:val="000000"/>
          <w:position w:val="0"/>
        </w:rPr>
        <w:t xml:space="preserve">900 ТМ </w:t>
      </w:r>
      <w:r>
        <w:rPr>
          <w:lang w:val="en-US" w:eastAsia="en-US" w:bidi="en-US"/>
          <w:w w:val="100"/>
          <w:spacing w:val="0"/>
          <w:color w:val="000000"/>
          <w:position w:val="0"/>
        </w:rPr>
        <w:t xml:space="preserve">Goodhim </w:t>
      </w:r>
      <w:r>
        <w:rPr>
          <w:lang w:val="ru-RU" w:eastAsia="ru-RU" w:bidi="ru-RU"/>
          <w:w w:val="100"/>
          <w:spacing w:val="0"/>
          <w:color w:val="000000"/>
          <w:position w:val="0"/>
        </w:rPr>
        <w:t>Страна происхождения - Россия»: «Содержание анионных поверхностно-активных веществ: &gt;= 15 &lt; 30 %» - «5»; «Содержание катионных поверхностно- активных веществ: &gt;= 30 %» - «0»; «Содержание неиногенных поверхностно- активных веществ:</w:t>
        <w:tab/>
        <w:t>&gt;=</w:t>
        <w:tab/>
        <w:t>15</w:t>
        <w:tab/>
        <w:t>&lt;</w:t>
        <w:tab/>
        <w:t>30</w:t>
        <w:tab/>
        <w:t>%»</w:t>
        <w:tab/>
        <w:t>-</w:t>
        <w:tab/>
        <w:t>«2»;</w:t>
        <w:tab/>
        <w:t>«Содержание</w:t>
      </w:r>
    </w:p>
    <w:p>
      <w:pPr>
        <w:pStyle w:val="Style5"/>
        <w:tabs>
          <w:tab w:leader="none" w:pos="4719" w:val="left"/>
          <w:tab w:leader="none" w:pos="8372" w:val="right"/>
          <w:tab w:leader="none" w:pos="9850" w:val="right"/>
          <w:tab w:leader="none" w:pos="10190" w:val="righ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этилендиаминтетрауксусной кислоты</w:t>
        <w:tab/>
        <w:t>и ее соли: &gt;= 15 &lt; 30</w:t>
        <w:tab/>
        <w:t>%»</w:t>
        <w:tab/>
        <w:t>- «5», что</w:t>
        <w:tab/>
        <w:t>не</w:t>
      </w:r>
    </w:p>
    <w:p>
      <w:pPr>
        <w:pStyle w:val="Style5"/>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соответствует требованиям документации об электронном аукционе».</w:t>
      </w:r>
    </w:p>
    <w:p>
      <w:pPr>
        <w:pStyle w:val="Style5"/>
        <w:tabs>
          <w:tab w:leader="none" w:pos="4719" w:val="left"/>
          <w:tab w:leader="none" w:pos="8372" w:val="right"/>
          <w:tab w:leader="none" w:pos="9850" w:val="right"/>
          <w:tab w:leader="none" w:pos="10190" w:val="right"/>
        </w:tabs>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соответствии с п.1 ч.1 ст.64 Закона о контрактной системе документация об электронном аукционе наряду с</w:t>
        <w:tab/>
        <w:t>информацией, указанной</w:t>
        <w:tab/>
        <w:t>в</w:t>
        <w:tab/>
        <w:t>извещении</w:t>
        <w:tab/>
        <w:t>о</w:t>
      </w:r>
    </w:p>
    <w:p>
      <w:pPr>
        <w:pStyle w:val="Style5"/>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w:t>
      </w:r>
    </w:p>
    <w:p>
      <w:pPr>
        <w:pStyle w:val="Style5"/>
        <w:tabs>
          <w:tab w:leader="none" w:pos="4719" w:val="left"/>
          <w:tab w:leader="none" w:pos="8372" w:val="right"/>
          <w:tab w:leader="none" w:pos="9850" w:val="right"/>
          <w:tab w:leader="none" w:pos="10190" w:val="right"/>
        </w:tabs>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соответствии п.2 ч.1 ст.64 Закона о контрактной системе документация об электронном аукционе наряду с</w:t>
        <w:tab/>
        <w:t>информацией, указанной</w:t>
        <w:tab/>
        <w:t>в</w:t>
        <w:tab/>
        <w:t>извещении</w:t>
        <w:tab/>
        <w:t>о</w:t>
      </w:r>
    </w:p>
    <w:p>
      <w:pPr>
        <w:pStyle w:val="Style5"/>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проведении такого аукциона, должна содержать требования к содержанию, составу заявки на участие в таком аукционе в соответствии с ч.3-6 ст.66 Закона о контрактной системе и инструкцию по ее заполнению.</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соответствии с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Комиссией Управления установлено, что Заказчиком в технической части Аукционной документации установлены требования к товарам, необходимым к поставке, в частности по п. «Моющее средство для дорожных покрытий и элементов объектов дорожного хозяйства концентрированное»: «Содержание анионных поверхностно-активных веществ: &gt;= 15 &lt; 30 %».</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Согласно ч.3 ст.66 Закона о контрактной системе первая часть заявки на участие в электронном аукционе, за исключением случая, предусмотренного ч.3.1 ст.66 Закона о контрактной системе, должна содержать:</w:t>
      </w:r>
    </w:p>
    <w:p>
      <w:pPr>
        <w:pStyle w:val="Style5"/>
        <w:numPr>
          <w:ilvl w:val="0"/>
          <w:numId w:val="7"/>
        </w:numPr>
        <w:tabs>
          <w:tab w:leader="none" w:pos="1215" w:val="left"/>
        </w:tabs>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2) при осуществлении закупки товара, в том числе поставляемого заказчику при выполнении закупаемых работ, оказании закупаемых услуг:</w:t>
      </w:r>
    </w:p>
    <w:p>
      <w:pPr>
        <w:pStyle w:val="Style5"/>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а) наименование страны происхождения товара;</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силу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Комиссией Управления установлено, что в составе первой части заявки участник закупки выразил согласие на поставку товаров на условиях, предусмотренных документацией об аукционе, а также представил сведения о необходимых к поставке товаров, в частности по п. «Моющее средство для дорожных покрытий и элементов объектов дорожного хозяйства концентрированное»: «Содержание анионных поверхностно-активных веществ: 5», что напрямую не соответствует требованиям аукционной документации, поскольку содержание анионных поверхностно-активных веществ должно составлять не менее 15%, но не более 30%.</w:t>
      </w:r>
    </w:p>
    <w:p>
      <w:pPr>
        <w:pStyle w:val="Style5"/>
        <w:tabs>
          <w:tab w:leader="none" w:pos="2914" w:val="left"/>
        </w:tabs>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Согласно ч.9</w:t>
        <w:tab/>
        <w:t>ст.105 Закона о контрактной системе к жалобе</w:t>
      </w:r>
    </w:p>
    <w:p>
      <w:pPr>
        <w:pStyle w:val="Style5"/>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Вместе с тем в заседании Комиссии Управления, а также в составе жалобы Заявителем не представлено документов и сведений, свидетельствующих о нарушении аукционной комиссией Заказчика норм Закона о контрактной системе, а именно не представлено доказательств свидетельствующих о соответствии содержания анионных поверхностно-активных веществ установленным требованиям.</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При этом в обоснование своих доводов Заявитель указывает, что аукционная документация Заказчика сформирована в нарушение Закона о контрактной системе.</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Вместе с тем указанный довод не может быть рассмотрен Комиссией Управления при рассмотрении жалобы на действия аукционной комиссии Заказчика, так как обжалование положений аукционной документации возможно согласно ч.4 ст.105 Закона о контрактной системе до окончания срока подачи заявок, а не на этапе их рассмотрения.</w:t>
      </w:r>
    </w:p>
    <w:p>
      <w:pPr>
        <w:pStyle w:val="Style5"/>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При этом, в установленные сроки Заявитель не воспользовался своим правом и не обжаловал положения аукционной документации, что указывает на то, что, давая свое согласие на выполнение работ на условиях, предусмотренных аукционной документацией, при подаче заявки Заявитель был согласен со всеми установленными Заказчиком требованиями.</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Ч.4 ст. 67 Закона о контрактной системе установлено, что участник электронного аукциона не допускается к участию в нем в случае:</w:t>
      </w:r>
    </w:p>
    <w:p>
      <w:pPr>
        <w:pStyle w:val="Style5"/>
        <w:numPr>
          <w:ilvl w:val="0"/>
          <w:numId w:val="9"/>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непредставления информации, предусмотренной ч.3 ст. 66 Закона о контрактной системе, или предоставления недостоверной информации;</w:t>
      </w:r>
    </w:p>
    <w:p>
      <w:pPr>
        <w:pStyle w:val="Style5"/>
        <w:numPr>
          <w:ilvl w:val="0"/>
          <w:numId w:val="9"/>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несоответствия информации, предусмотренной ч.3 ст. 66 Закона о контрактной системе, требованиям документации о таком аукционе.</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Таким образом, Комиссия Управления приходит к выводу, что у аукционной комиссии Заказчика имелись основания для отказа в допуске Заявителю к участию в аукционе, и решение аукционной комиссии Заказчика в части отказа в допуске Заявителю к участию в аукционе является правомерным.</w:t>
      </w:r>
    </w:p>
    <w:p>
      <w:pPr>
        <w:pStyle w:val="Style5"/>
        <w:widowControl w:val="0"/>
        <w:keepNext w:val="0"/>
        <w:keepLines w:val="0"/>
        <w:shd w:val="clear" w:color="auto" w:fill="auto"/>
        <w:bidi w:val="0"/>
        <w:jc w:val="both"/>
        <w:spacing w:before="0" w:after="349"/>
        <w:ind w:left="2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10"/>
        <w:widowControl w:val="0"/>
        <w:keepNext/>
        <w:keepLines/>
        <w:shd w:val="clear" w:color="auto" w:fill="auto"/>
        <w:bidi w:val="0"/>
        <w:jc w:val="left"/>
        <w:spacing w:before="0" w:after="307" w:line="260" w:lineRule="exact"/>
        <w:ind w:left="4600" w:right="0" w:firstLine="0"/>
      </w:pPr>
      <w:bookmarkStart w:id="1" w:name="bookmark1"/>
      <w:r>
        <w:rPr>
          <w:lang w:val="ru-RU" w:eastAsia="ru-RU" w:bidi="ru-RU"/>
          <w:w w:val="100"/>
          <w:spacing w:val="0"/>
          <w:color w:val="000000"/>
          <w:position w:val="0"/>
        </w:rPr>
        <w:t>Р Е Ш И Л А:</w:t>
      </w:r>
      <w:bookmarkEnd w:id="1"/>
    </w:p>
    <w:p>
      <w:pPr>
        <w:pStyle w:val="Style5"/>
        <w:numPr>
          <w:ilvl w:val="0"/>
          <w:numId w:val="11"/>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Признать жалобу ООО «Оливер Трейд» на действия аукционной комиссии ГБУ «Автомобильные дороги Южного административного округа» необоснованной.</w:t>
      </w:r>
    </w:p>
    <w:p>
      <w:pPr>
        <w:pStyle w:val="Style5"/>
        <w:numPr>
          <w:ilvl w:val="0"/>
          <w:numId w:val="11"/>
        </w:numPr>
        <w:tabs>
          <w:tab w:leader="none" w:pos="8290" w:val="left"/>
        </w:tabs>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В части обжалования положений аукционной документации оставить жалобу Заявителя без рассмотрения в соответствии с ч.4</w:t>
        <w:tab/>
        <w:t>ст.105 Закона о контрактной системе.</w:t>
      </w:r>
    </w:p>
    <w:p>
      <w:pPr>
        <w:pStyle w:val="Style5"/>
        <w:tabs>
          <w:tab w:leader="none" w:pos="10177" w:val="right"/>
        </w:tabs>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2. Снять ограничения на определение поставщика (подрядчика, исполнителя), наложенные письмом Московского УФАС России №</w:t>
        <w:tab/>
        <w:t>ЕИ/6807/21</w:t>
      </w:r>
    </w:p>
    <w:p>
      <w:pPr>
        <w:pStyle w:val="Style5"/>
        <w:widowControl w:val="0"/>
        <w:keepNext w:val="0"/>
        <w:keepLines w:val="0"/>
        <w:shd w:val="clear" w:color="auto" w:fill="auto"/>
        <w:bidi w:val="0"/>
        <w:jc w:val="both"/>
        <w:spacing w:before="0" w:line="312" w:lineRule="exact"/>
        <w:ind w:left="20" w:right="0" w:firstLine="0"/>
      </w:pPr>
      <w:r>
        <w:rPr>
          <w:lang w:val="ru-RU" w:eastAsia="ru-RU" w:bidi="ru-RU"/>
          <w:w w:val="100"/>
          <w:spacing w:val="0"/>
          <w:color w:val="000000"/>
          <w:position w:val="0"/>
        </w:rPr>
        <w:t>от 08.02.2021.</w:t>
      </w:r>
    </w:p>
    <w:p>
      <w:pPr>
        <w:pStyle w:val="Style5"/>
        <w:widowControl w:val="0"/>
        <w:keepNext w:val="0"/>
        <w:keepLines w:val="0"/>
        <w:shd w:val="clear" w:color="auto" w:fill="auto"/>
        <w:bidi w:val="0"/>
        <w:jc w:val="both"/>
        <w:spacing w:before="0" w:after="39" w:line="312" w:lineRule="exact"/>
        <w:ind w:left="20" w:right="20" w:firstLine="720"/>
      </w:pPr>
      <w:r>
        <w:rPr>
          <w:lang w:val="ru-RU" w:eastAsia="ru-RU" w:bidi="ru-RU"/>
          <w:w w:val="100"/>
          <w:spacing w:val="0"/>
          <w:color w:val="000000"/>
          <w:position w:val="0"/>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pStyle w:val="Style5"/>
        <w:tabs>
          <w:tab w:leader="none" w:pos="8538" w:val="lef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С.И. Казарин</w:t>
      </w:r>
    </w:p>
    <w:p>
      <w:pPr>
        <w:pStyle w:val="Style5"/>
        <w:tabs>
          <w:tab w:leader="none" w:pos="8538" w:val="lef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А.З. Касимова</w:t>
      </w:r>
    </w:p>
    <w:p>
      <w:pPr>
        <w:pStyle w:val="Style5"/>
        <w:widowControl w:val="0"/>
        <w:keepNext w:val="0"/>
        <w:keepLines w:val="0"/>
        <w:shd w:val="clear" w:color="auto" w:fill="auto"/>
        <w:bidi w:val="0"/>
        <w:jc w:val="right"/>
        <w:spacing w:before="0" w:after="787" w:line="638" w:lineRule="exact"/>
        <w:ind w:left="0" w:right="20" w:firstLine="0"/>
      </w:pPr>
      <w:r>
        <w:rPr>
          <w:lang w:val="ru-RU" w:eastAsia="ru-RU" w:bidi="ru-RU"/>
          <w:w w:val="100"/>
          <w:spacing w:val="0"/>
          <w:color w:val="000000"/>
          <w:position w:val="0"/>
        </w:rPr>
        <w:t>А.А. Матюшенко</w:t>
      </w:r>
    </w:p>
    <w:p>
      <w:pPr>
        <w:pStyle w:val="Style12"/>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Исп. Касимова А.З. Тел. 8-495-784-75-05 (доб. 077-186)</w:t>
      </w:r>
    </w:p>
    <w:sectPr>
      <w:footnotePr>
        <w:pos w:val="pageBottom"/>
        <w:numFmt w:val="decimal"/>
        <w:numRestart w:val="continuous"/>
      </w:footnotePr>
      <w:type w:val="continuous"/>
      <w:pgSz w:w="11906" w:h="16838"/>
      <w:pgMar w:top="1190" w:left="848" w:right="842" w:bottom="13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1.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8.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840" w:line="31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42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