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8" w:line="260" w:lineRule="exact"/>
        <w:ind w:left="5300" w:right="0" w:firstLine="0"/>
      </w:pPr>
      <w:r>
        <w:rPr>
          <w:lang w:val="ru-RU" w:eastAsia="ru-RU" w:bidi="ru-RU"/>
          <w:w w:val="100"/>
          <w:spacing w:val="0"/>
          <w:color w:val="000000"/>
          <w:position w:val="0"/>
        </w:rPr>
        <w:t>ГКУ АЗ (КС) ДЗМ</w:t>
      </w:r>
    </w:p>
    <w:p>
      <w:pPr>
        <w:pStyle w:val="Style3"/>
        <w:widowControl w:val="0"/>
        <w:keepNext w:val="0"/>
        <w:keepLines w:val="0"/>
        <w:shd w:val="clear" w:color="auto" w:fill="auto"/>
        <w:bidi w:val="0"/>
        <w:jc w:val="left"/>
        <w:spacing w:before="0" w:after="289" w:line="322" w:lineRule="exact"/>
        <w:ind w:left="5300" w:right="200" w:firstLine="0"/>
      </w:pPr>
      <w:r>
        <w:rPr>
          <w:lang w:val="ru-RU" w:eastAsia="ru-RU" w:bidi="ru-RU"/>
          <w:w w:val="100"/>
          <w:spacing w:val="0"/>
          <w:color w:val="000000"/>
          <w:position w:val="0"/>
        </w:rPr>
        <w:t xml:space="preserve">ул. Поликарпова, д. 4, стр. 12 г. Москва, 125284, </w:t>
      </w:r>
      <w:r>
        <w:fldChar w:fldCharType="begin"/>
      </w:r>
      <w:r>
        <w:rPr>
          <w:color w:val="000000"/>
        </w:rPr>
        <w:instrText> HYPERLINK "mailto:azks@zdrav.mos.ru" </w:instrText>
      </w:r>
      <w:r>
        <w:fldChar w:fldCharType="separate"/>
      </w:r>
      <w:r>
        <w:rPr>
          <w:rStyle w:val="Hyperlink"/>
          <w:lang w:val="en-US" w:eastAsia="en-US" w:bidi="en-US"/>
          <w:w w:val="100"/>
          <w:spacing w:val="0"/>
          <w:position w:val="0"/>
        </w:rPr>
        <w:t>azks@zdrav.mos.ru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3"/>
        <w:widowControl w:val="0"/>
        <w:keepNext w:val="0"/>
        <w:keepLines w:val="0"/>
        <w:shd w:val="clear" w:color="auto" w:fill="auto"/>
        <w:bidi w:val="0"/>
        <w:jc w:val="left"/>
        <w:spacing w:before="0" w:after="308" w:line="260" w:lineRule="exact"/>
        <w:ind w:left="5300" w:right="0" w:firstLine="0"/>
      </w:pPr>
      <w:r>
        <w:rPr>
          <w:lang w:val="ru-RU" w:eastAsia="ru-RU" w:bidi="ru-RU"/>
          <w:w w:val="100"/>
          <w:spacing w:val="0"/>
          <w:color w:val="000000"/>
          <w:position w:val="0"/>
        </w:rPr>
        <w:t>ООО «ЭНЕРГОПРОФИТ»</w:t>
      </w:r>
    </w:p>
    <w:p>
      <w:pPr>
        <w:pStyle w:val="Style3"/>
        <w:widowControl w:val="0"/>
        <w:keepNext w:val="0"/>
        <w:keepLines w:val="0"/>
        <w:shd w:val="clear" w:color="auto" w:fill="auto"/>
        <w:bidi w:val="0"/>
        <w:jc w:val="left"/>
        <w:spacing w:before="0" w:after="3049" w:line="322" w:lineRule="exact"/>
        <w:ind w:left="5300" w:right="200" w:firstLine="0"/>
      </w:pPr>
      <w:r>
        <w:rPr>
          <w:lang w:val="ru-RU" w:eastAsia="ru-RU" w:bidi="ru-RU"/>
          <w:w w:val="100"/>
          <w:spacing w:val="0"/>
          <w:color w:val="000000"/>
          <w:position w:val="0"/>
        </w:rPr>
        <w:t xml:space="preserve">ш. Петергофское, д. 55, корп. 1, лит. А, пом. 4-Н, г. Санкт-Петербург, 198206, </w:t>
      </w:r>
      <w:r>
        <w:fldChar w:fldCharType="begin"/>
      </w:r>
      <w:r>
        <w:rPr>
          <w:color w:val="000000"/>
        </w:rPr>
        <w:instrText> HYPERLINK "mailto:post@novolampa.ru" </w:instrText>
      </w:r>
      <w:r>
        <w:fldChar w:fldCharType="separate"/>
      </w:r>
      <w:r>
        <w:rPr>
          <w:rStyle w:val="Hyperlink"/>
          <w:lang w:val="en-US" w:eastAsia="en-US" w:bidi="en-US"/>
          <w:w w:val="100"/>
          <w:spacing w:val="0"/>
          <w:position w:val="0"/>
        </w:rPr>
        <w:t>post@novolampa.ru</w:t>
      </w:r>
      <w:r>
        <w:fldChar w:fldCharType="end"/>
      </w:r>
    </w:p>
    <w:p>
      <w:pPr>
        <w:pStyle w:val="Style5"/>
        <w:tabs>
          <w:tab w:leader="none" w:pos="8510" w:val="right"/>
          <w:tab w:leader="none" w:pos="8662" w:val="left"/>
        </w:tabs>
        <w:widowControl w:val="0"/>
        <w:keepNext w:val="0"/>
        <w:keepLines w:val="0"/>
        <w:shd w:val="clear" w:color="auto" w:fill="auto"/>
        <w:bidi w:val="0"/>
        <w:jc w:val="left"/>
        <w:spacing w:before="0" w:after="0"/>
        <w:ind w:left="0" w:right="620" w:firstLine="4720"/>
      </w:pPr>
      <w:r>
        <w:rPr>
          <w:lang w:val="ru-RU" w:eastAsia="ru-RU" w:bidi="ru-RU"/>
          <w:w w:val="100"/>
          <w:spacing w:val="0"/>
          <w:color w:val="000000"/>
          <w:position w:val="0"/>
        </w:rPr>
        <w:t>РЕШЕНИЕ по делу №077/06/106-2183/2021 о нарушении законодательства о контрактной системе 11.02.2021</w:t>
        <w:tab/>
        <w:t>г.</w:t>
        <w:tab/>
        <w:t>Москва</w:t>
      </w:r>
    </w:p>
    <w:p>
      <w:pPr>
        <w:pStyle w:val="Style3"/>
        <w:widowControl w:val="0"/>
        <w:keepNext w:val="0"/>
        <w:keepLines w:val="0"/>
        <w:shd w:val="clear" w:color="auto" w:fill="auto"/>
        <w:bidi w:val="0"/>
        <w:jc w:val="both"/>
        <w:spacing w:before="0" w:after="0" w:line="336" w:lineRule="exact"/>
        <w:ind w:left="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36" w:lineRule="exact"/>
        <w:ind w:left="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Члена Комиссии — ведущего специалиста-эксперта отдела обжалования государственных закупок А.А. Кутеникова,</w:t>
      </w:r>
    </w:p>
    <w:p>
      <w:pPr>
        <w:pStyle w:val="Style3"/>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left"/>
        <w:spacing w:before="0" w:after="174" w:line="331" w:lineRule="exact"/>
        <w:ind w:left="0" w:right="20" w:firstLine="700"/>
      </w:pPr>
      <w:r>
        <w:rPr>
          <w:lang w:val="ru-RU" w:eastAsia="ru-RU" w:bidi="ru-RU"/>
          <w:w w:val="100"/>
          <w:spacing w:val="0"/>
          <w:color w:val="000000"/>
          <w:position w:val="0"/>
        </w:rPr>
        <w:t>при участии представителей ГКУ АЗ (КС) ДЗМ, ООО «ЭНЕРГОПРОФИТ», рассмотрев жалобу ООО «ЭНЕРГОПРОФИТ» (далее — Заявитель) на действия ГКУ АЗ (КС) ДЗМ (далее-Заказчик) при проведении электронного</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001435195804</w:t>
      </w:r>
    </w:p>
    <w:p>
      <w:pPr>
        <w:pStyle w:val="Style3"/>
        <w:widowControl w:val="0"/>
        <w:keepNext w:val="0"/>
        <w:keepLines w:val="0"/>
        <w:shd w:val="clear" w:color="auto" w:fill="auto"/>
        <w:bidi w:val="0"/>
        <w:jc w:val="both"/>
        <w:spacing w:before="0" w:after="365" w:line="341" w:lineRule="exact"/>
        <w:ind w:left="20" w:right="20" w:firstLine="0"/>
      </w:pPr>
      <w:r>
        <w:rPr>
          <w:lang w:val="ru-RU" w:eastAsia="ru-RU" w:bidi="ru-RU"/>
          <w:w w:val="100"/>
          <w:spacing w:val="0"/>
          <w:color w:val="000000"/>
          <w:position w:val="0"/>
        </w:rPr>
        <w:t>аукциона на право заключения государственного контракта на поставку, установку и ввод в эксплуатацию концентратора кислорода с принадлежностями (ТСР2020-54) (Закупка № 0873200009821000116)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292" w:line="260" w:lineRule="exact"/>
        <w:ind w:left="43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электронного аукциона.</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Заявитель обжалует действия аукционной комиссии Заказчика, выразившиеся в признании второй части заявки Заявителя не соответствующей требованиям аукционной документации.</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№ЕИ/6805/21 от 08.02.2021.</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Согласно протоколу подведения итогов электронного аукциона от 02.02.2021 №0873200009821000116-3 заявка ООО «ЭНЕРГОПРОФИТ» признана несоответствующей на следующем основании: «На основании п. 1 ч. 6 ст. 69 Закона о контрактной системе, в связи с непредставлением документов и информации, которые предусмотрены частью 11 статьи 24.1 Закона о контрактной системе, а именно: Участник не представил копию учредительного документа участника (для юридического лица) - действующую редакцию Устава Общества. Установлено, что на электронной площадке размещена копия Устава от 05.12.2019. При этом на ЭТП размещена информационная выписка из ЕГРЮЛ от 31.07.2020г, подтверждающая, что 31.07.2020г. произведена государственная регистрация изменений, внесенных в учредительные документы юридического лица».</w:t>
      </w:r>
    </w:p>
    <w:p>
      <w:pPr>
        <w:pStyle w:val="Style3"/>
        <w:widowControl w:val="0"/>
        <w:keepNext w:val="0"/>
        <w:keepLines w:val="0"/>
        <w:shd w:val="clear" w:color="auto" w:fill="auto"/>
        <w:bidi w:val="0"/>
        <w:jc w:val="both"/>
        <w:spacing w:before="0" w:after="0" w:line="341" w:lineRule="exact"/>
        <w:ind w:left="20" w:right="0" w:firstLine="560"/>
      </w:pPr>
      <w:r>
        <w:rPr>
          <w:lang w:val="ru-RU" w:eastAsia="ru-RU" w:bidi="ru-RU"/>
          <w:w w:val="100"/>
          <w:spacing w:val="0"/>
          <w:color w:val="000000"/>
          <w:position w:val="0"/>
        </w:rPr>
        <w:t>Согласно ч.19 ст.68 Закона о контрактной системе в течение одного часа после размещения на электронной площадке протокола, указанного в ч.18 ст.68,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ч.18 ст.68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ч.11 ст.24.1 Закона о контрактной системе. При этом при проведении электронного аукциона в случае включения в документацию о закупке в соответствии с пунктом 8 части 1 статьи 33 Закона о контрактной системе проектной документации оператор электронной площадки также направляет заказчику предусмотренные частью 3.1 статьи 66 Закона о контрактной системе первые части заявок таких участников. В течение указанного срока оператор электронной площадки обязан направить участникам соответствующие уведомления.</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 соответствии с п.1 ч.11 ст.24.1 Закона о контрактной системе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ст.24.1 Закона о контрактной системе, обеспечивает предоставление заказчику в сроки и случаях, установленных Законом о контрактной системе копии учредительных документов участника закупки (для юридического лица).</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 соответствии с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ч.19 ст.68 Закона о контрактной системе, в части соответствия их требованиям, установленным документацией о таком аукционе.</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Согласно ч.2 ст.69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 силу ч.1 ст.66 Закона о контрактной системе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w:t>
      </w:r>
    </w:p>
    <w:p>
      <w:pPr>
        <w:pStyle w:val="Style3"/>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частями 2 и 2.1 статьи 31 Закона о контрактной системе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частью 13 статьи 24.2 Закона о контрактной системе оператором электронной площадки в реестре участников закупок, аккредитованных на электронной площадке.</w:t>
      </w:r>
    </w:p>
    <w:p>
      <w:pPr>
        <w:pStyle w:val="Style3"/>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В соответствии с ч.11 ст.24.1 Закона о контрактной системе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статьи 24.1 Закона о контрактной системе, обеспечивает предоставление заказчику в сроки и случаях, установленных Законом о контрактной системе, следующих документов и информации:</w:t>
      </w:r>
    </w:p>
    <w:p>
      <w:pPr>
        <w:pStyle w:val="Style3"/>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pPr>
        <w:pStyle w:val="Style3"/>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pPr>
        <w:pStyle w:val="Style3"/>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pPr>
        <w:pStyle w:val="Style3"/>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pPr>
        <w:pStyle w:val="Style3"/>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pPr>
        <w:pStyle w:val="Style3"/>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pPr>
        <w:pStyle w:val="Style3"/>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выписка из единого государственного реестра юридических лиц (для юридического лица), выписка из единого государственного реестра</w:t>
      </w:r>
    </w:p>
    <w:p>
      <w:pPr>
        <w:pStyle w:val="Style3"/>
        <w:widowControl w:val="0"/>
        <w:keepNext w:val="0"/>
        <w:keepLines w:val="0"/>
        <w:shd w:val="clear" w:color="auto" w:fill="auto"/>
        <w:bidi w:val="0"/>
        <w:jc w:val="left"/>
        <w:spacing w:before="0" w:after="0" w:line="341" w:lineRule="exact"/>
        <w:ind w:left="20" w:right="0" w:firstLine="0"/>
      </w:pPr>
      <w:r>
        <w:rPr>
          <w:lang w:val="ru-RU" w:eastAsia="ru-RU" w:bidi="ru-RU"/>
          <w:w w:val="100"/>
          <w:spacing w:val="0"/>
          <w:color w:val="000000"/>
          <w:position w:val="0"/>
        </w:rPr>
        <w:t>индивидуальных предпринимателей (для индивидуального предпринимателя).</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На заседании Комиссии Управления представители Заказчика пояснили, что в составе аккредитационных документов ООО «ЭНЕРГОПРОФИТ» содержится устав ООО «ЭНЕРГОПРОФИТ» от 05.12.2019, при этом, согласно выписке из ЕГРЮЛ от 31.07.2020, последние изменения в устав были внесены 31.07.2020, при этом актуальный состав отсутствует в составе заявки, лист записи о регистрации в ЕГРЮЛ указанного изменения в уставе ООО «ЭНЕРГОПРОФИТ» в составе документов по заявке заявителя также отсутствует, в связи с чем аукционной комиссией Заказчика принято решения о признании заявки несоответствующей.</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Также на заседании Комиссии Управления представитель Заказчика пояснил, что согласно части 16 Постановлению Правительства Российской Федерации от 30.12.2018 № 1752 «О порядке регистрации участников закупок в Удиной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8 июня 2018 г. № 656» в случае внесения изменений в информацию и документы, за исключением информации и документов, формируемых в соответствии с настоящими правилами автоматически на основании сведений из государственных информационных систем и (или) официальных сайтов федеральных органов власти, уполномоченных на ведение государственных реестров, замены или прекращение действий таких документов, участник закупки обязан сформировать в Единой информационной системе новые информацию и документы в порядке, установленном настоящими правилами для регистрации участников.</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 соответствии с п. 17 Правил ответственность за неполноту, недостоверность, изменение информации и документов, формируемых для размещения в реестре участников, за несоответствие указанных информации и документов требованиям, установленным законодательством Российской Федерации, а также за действия, совершенные на основании указанных информации и документов, несет уполномоченное лицо (понятие уполномоченного лица содержится в п. 3 Правил).</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Согласно ч.9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41" w:lineRule="exact"/>
        <w:ind w:left="20" w:right="20" w:firstLine="560"/>
      </w:pPr>
      <w:r>
        <w:rPr>
          <w:lang w:val="ru-RU" w:eastAsia="ru-RU" w:bidi="ru-RU"/>
          <w:w w:val="100"/>
          <w:spacing w:val="0"/>
          <w:color w:val="000000"/>
          <w:position w:val="0"/>
        </w:rPr>
        <w:t>Вместе с тем в силу вышеуказанной нормы обязанность доказывания нарушения со стороны Заказчика лежит на подателе жалобы, однако в заседании</w:t>
      </w:r>
    </w:p>
    <w:p>
      <w:pPr>
        <w:pStyle w:val="Style3"/>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Комиссии Управления представитель Заявителя не представил документы и сведения, свидетельствующие о нарушении аукционной комиссией Заказчика положений Закона о контрактной системе, а так же не отрицал факт отсутствия в составе заявки Заявителя лист записи о регистрации в ЕГРЮЛ изменения в уставе ООО «ЭНЕРГОПРОФИТ» и актуальной версии устава.</w:t>
      </w:r>
    </w:p>
    <w:p>
      <w:pPr>
        <w:pStyle w:val="Style3"/>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3"/>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3"/>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2 и 2.1 (при наличии таких требований) ст.31 Закона о контрактной системе;</w:t>
      </w:r>
    </w:p>
    <w:p>
      <w:pPr>
        <w:pStyle w:val="Style3"/>
        <w:numPr>
          <w:ilvl w:val="0"/>
          <w:numId w:val="3"/>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3"/>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Согласно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ч.6 ст.69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п.5 ч.5 ст.66 Закона о контрактной системе, а также п.6 ч.5 ст.66 Закона о контрактной системе, за исключением случая закупки товаров, работ, услуг, в отношении которых установлен запрет, предусмотренный ст.14 Закона о контрактной системе.</w:t>
      </w:r>
    </w:p>
    <w:p>
      <w:pPr>
        <w:pStyle w:val="Style3"/>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Таким образом, у аукционной комиссии Заказчика имелись основания о признании второй части заявки Заявителя не соответствующей требованиям аукционной документации и принятие решения о несоответствии второй части заявки на основания непредставления устава является правомерным.</w:t>
      </w:r>
    </w:p>
    <w:p>
      <w:pPr>
        <w:pStyle w:val="Style3"/>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5"/>
        <w:widowControl w:val="0"/>
        <w:keepNext w:val="0"/>
        <w:keepLines w:val="0"/>
        <w:shd w:val="clear" w:color="auto" w:fill="auto"/>
        <w:bidi w:val="0"/>
        <w:jc w:val="left"/>
        <w:spacing w:before="0" w:after="0" w:line="260" w:lineRule="exact"/>
        <w:ind w:left="4700" w:right="0" w:firstLine="0"/>
      </w:pPr>
      <w:r>
        <w:rPr>
          <w:lang w:val="ru-RU" w:eastAsia="ru-RU" w:bidi="ru-RU"/>
          <w:w w:val="100"/>
          <w:spacing w:val="0"/>
          <w:color w:val="000000"/>
          <w:position w:val="0"/>
        </w:rPr>
        <w:t>РЕШИЛА:</w:t>
      </w:r>
    </w:p>
    <w:p>
      <w:pPr>
        <w:pStyle w:val="Style3"/>
        <w:numPr>
          <w:ilvl w:val="0"/>
          <w:numId w:val="5"/>
        </w:numPr>
        <w:widowControl w:val="0"/>
        <w:keepNext w:val="0"/>
        <w:keepLines w:val="0"/>
        <w:shd w:val="clear" w:color="auto" w:fill="auto"/>
        <w:bidi w:val="0"/>
        <w:jc w:val="both"/>
        <w:spacing w:before="0" w:after="0" w:line="350" w:lineRule="exact"/>
        <w:ind w:left="0" w:right="40" w:firstLine="540"/>
      </w:pPr>
      <w:r>
        <w:rPr>
          <w:lang w:val="ru-RU" w:eastAsia="ru-RU" w:bidi="ru-RU"/>
          <w:w w:val="100"/>
          <w:spacing w:val="0"/>
          <w:color w:val="000000"/>
          <w:position w:val="0"/>
        </w:rPr>
        <w:t xml:space="preserve"> Признать жалобу ООО «ЭНЕРГОПРОФИТ» на действия аукционной комиссии ГКУ АЗ (КС) ДЗМ необоснованной.</w:t>
      </w:r>
    </w:p>
    <w:p>
      <w:pPr>
        <w:pStyle w:val="Style3"/>
        <w:numPr>
          <w:ilvl w:val="0"/>
          <w:numId w:val="5"/>
        </w:numPr>
        <w:widowControl w:val="0"/>
        <w:keepNext w:val="0"/>
        <w:keepLines w:val="0"/>
        <w:shd w:val="clear" w:color="auto" w:fill="auto"/>
        <w:bidi w:val="0"/>
        <w:jc w:val="both"/>
        <w:spacing w:before="0" w:after="304" w:line="346" w:lineRule="exact"/>
        <w:ind w:left="0" w:right="40" w:firstLine="540"/>
      </w:pPr>
      <w:r>
        <w:rPr>
          <w:lang w:val="ru-RU" w:eastAsia="ru-RU" w:bidi="ru-RU"/>
          <w:w w:val="100"/>
          <w:spacing w:val="0"/>
          <w:color w:val="000000"/>
          <w:position w:val="0"/>
        </w:rPr>
        <w:t xml:space="preserve"> Снять ограничения на осуществление закупки, наложенные письмом Московского </w:t>
      </w:r>
      <w:r>
        <w:rPr>
          <w:rStyle w:val="CharStyle11"/>
        </w:rPr>
        <w:t>УФАС</w:t>
      </w:r>
      <w:r>
        <w:rPr>
          <w:lang w:val="ru-RU" w:eastAsia="ru-RU" w:bidi="ru-RU"/>
          <w:w w:val="100"/>
          <w:spacing w:val="0"/>
          <w:color w:val="000000"/>
          <w:position w:val="0"/>
        </w:rPr>
        <w:t xml:space="preserve"> России №ЕИ/6805/21 от 08.02.2021.</w:t>
      </w:r>
    </w:p>
    <w:p>
      <w:pPr>
        <w:pStyle w:val="Style3"/>
        <w:widowControl w:val="0"/>
        <w:keepNext w:val="0"/>
        <w:keepLines w:val="0"/>
        <w:shd w:val="clear" w:color="auto" w:fill="auto"/>
        <w:bidi w:val="0"/>
        <w:jc w:val="both"/>
        <w:spacing w:before="0" w:after="365" w:line="341" w:lineRule="exact"/>
        <w:ind w:left="0" w:right="40" w:firstLine="5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3"/>
        <w:tabs>
          <w:tab w:leader="none" w:pos="8827" w:val="center"/>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Д.А.</w:t>
        <w:tab/>
        <w:t>Сологов</w:t>
      </w:r>
    </w:p>
    <w:p>
      <w:pPr>
        <w:pStyle w:val="Style3"/>
        <w:tabs>
          <w:tab w:leader="none" w:pos="8779"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3"/>
        <w:tabs>
          <w:tab w:leader="none" w:pos="8693" w:val="right"/>
          <w:tab w:leader="none" w:pos="10147" w:val="right"/>
        </w:tabs>
        <w:widowControl w:val="0"/>
        <w:keepNext w:val="0"/>
        <w:keepLines w:val="0"/>
        <w:shd w:val="clear" w:color="auto" w:fill="auto"/>
        <w:bidi w:val="0"/>
        <w:jc w:val="both"/>
        <w:spacing w:before="0" w:after="6847" w:line="638" w:lineRule="exact"/>
        <w:ind w:left="0" w:right="0" w:firstLine="0"/>
      </w:pPr>
      <w:r>
        <w:rPr>
          <w:lang w:val="ru-RU" w:eastAsia="ru-RU" w:bidi="ru-RU"/>
          <w:w w:val="100"/>
          <w:spacing w:val="0"/>
          <w:color w:val="000000"/>
          <w:position w:val="0"/>
        </w:rPr>
        <w:t>Член комиссии:</w:t>
        <w:tab/>
        <w:t>А.А.</w:t>
        <w:tab/>
        <w:t>Кутейников</w:t>
      </w:r>
    </w:p>
    <w:p>
      <w:pPr>
        <w:pStyle w:val="Style12"/>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footnotePr>
        <w:pos w:val="pageBottom"/>
        <w:numFmt w:val="decimal"/>
        <w:numRestart w:val="continuous"/>
      </w:footnotePr>
      <w:type w:val="continuous"/>
      <w:pgSz w:w="11906" w:h="16838"/>
      <w:pgMar w:top="1262" w:left="858" w:right="834" w:bottom="131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4"/>
    <w:rPr>
      <w:lang w:val="ru-RU" w:eastAsia="ru-RU" w:bidi="ru-RU"/>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3060" w:line="336"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648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