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numPr>
          <w:ilvl w:val="0"/>
          <w:numId w:val="1"/>
        </w:numPr>
        <w:tabs>
          <w:tab w:leader="none" w:pos="5639" w:val="left"/>
        </w:tabs>
        <w:widowControl w:val="0"/>
        <w:keepNext w:val="0"/>
        <w:keepLines w:val="0"/>
        <w:shd w:val="clear" w:color="auto" w:fill="auto"/>
        <w:bidi w:val="0"/>
        <w:spacing w:before="0" w:after="307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ФГБОУ ВО «НИУ«МЭИ»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6" w:line="317" w:lineRule="exact"/>
        <w:ind w:left="53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Красноказарменная, д.14, г. Москва, 111250, </w:t>
      </w:r>
      <w:r>
        <w:fldChar w:fldCharType="begin"/>
      </w:r>
      <w:r>
        <w:rPr>
          <w:color w:val="000000"/>
        </w:rPr>
        <w:instrText> HYPERLINK "mailto:UsatovaTM@mpei.ru"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UsatovaTM@mpei.ru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«САНМЕДЭКСПЕРТ»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20" w:right="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Плетешковский пер., д. 12, г. Москва, 105005, </w:t>
      </w:r>
      <w:r>
        <w:fldChar w:fldCharType="begin"/>
      </w:r>
      <w:r>
        <w:rPr>
          <w:color w:val="000000"/>
        </w:rPr>
        <w:instrText> HYPERLINK "mailto:info@sunmedexpert.ru"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info@sunmedexpert.ru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«Сбербанк-АСТ»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5320" w:right="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Большой Саввинский пер., д. 12, стр. 9, г. Москва, 119435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7"/>
        <w:tabs>
          <w:tab w:leader="none" w:pos="1155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640" w:right="2020" w:firstLine="19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№077/06/106-2190/2021 о нарушении законодательства о контрактной системе</w:t>
      </w:r>
    </w:p>
    <w:p>
      <w:pPr>
        <w:pStyle w:val="Style7"/>
        <w:numPr>
          <w:ilvl w:val="0"/>
          <w:numId w:val="3"/>
        </w:numPr>
        <w:tabs>
          <w:tab w:leader="none" w:pos="8941" w:val="left"/>
          <w:tab w:leader="none" w:pos="894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02.2021</w:t>
        <w:tab/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Председательствующего: Заместителя председателя Комиссии — главного государственного инспектора отдела обжалования государственных закупок Д.А. Сологова,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 - ведущего специалиста-эксперта отдела обжалования государственных закупок А.А. Кутейникова,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№92- УМ «О внесении изменений в правовые акты города Москвы» и предупреждения распространения в городе Москве инфекции, вызванной коронавирусом 2019-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nCoV.,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ФГБОУ ВО «НИУ«МЭИ», ООО «САНМЕДЭКСПЕРТ»,</w:t>
      </w:r>
    </w:p>
    <w:p>
      <w:pPr>
        <w:pStyle w:val="Style3"/>
        <w:framePr w:w="1349" w:h="427" w:wrap="around" w:vAnchor="text" w:hAnchor="margin" w:x="351" w:y="184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001726697355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«САНМЕДЭКСПЕРТ» (далее - Заявитель) на действия ФГБОУ ВО «НИУ«МЭИ» (далее-Заказчик) при проведении открытого конкурса в электронной форме на право заключения государственного контракта на оказание услуг по проведению предварительных и периодических медицинских осмотров, продлению (оформлению) личных медицинских книжек и проведению</w:t>
      </w:r>
      <w:r>
        <w:br w:type="page"/>
      </w:r>
    </w:p>
    <w:p>
      <w:pPr>
        <w:pStyle w:val="Style5"/>
        <w:tabs>
          <w:tab w:leader="none" w:pos="4695" w:val="left"/>
          <w:tab w:leader="none" w:pos="10201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профессиональной</w:t>
        <w:tab/>
        <w:t>гигиенической</w:t>
        <w:tab/>
        <w:t>подготовки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 аттестации работников НИУ «МЭИ» в 2021 г (Закупка № 0373100028120000226)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/>
        <w:ind w:left="43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открытого конкурса в электронной форме.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 ЕИ/6790/21 от 08.02.2021.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конкурсной комиссии Заказчика, выразившиеся в признании заявки ООО «МЦ «Хэлп» соответствующей требованиям конкурсной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открытого конкурса в электронной форме от 03.02.2021 №ППИ1 участник ООО «МЦ «Хэлп» признан победителем электронной процедуры, ценовое предложение составило 6 890 000,00 руб.</w:t>
      </w:r>
    </w:p>
    <w:p>
      <w:pPr>
        <w:pStyle w:val="Style5"/>
        <w:tabs>
          <w:tab w:leader="none" w:pos="2530" w:val="left"/>
          <w:tab w:leader="none" w:pos="7791" w:val="center"/>
          <w:tab w:leader="none" w:pos="8899" w:val="left"/>
          <w:tab w:leader="none" w:pos="10201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п.2 ч.3 ст.54.2 Закона о контрактной системе в извещении о проведении открытого конкурса в электронной форме наряду с информацией, предусмотренной ст.42 Закона о контрактной системе, указываются требования, предъявляемые к</w:t>
        <w:tab/>
        <w:t>участникам открытого конкурса</w:t>
        <w:tab/>
        <w:t>в электронной</w:t>
        <w:tab/>
        <w:t>форме,</w:t>
        <w:tab/>
        <w:t>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исчерпывающий перечень документов, которые должны быть представлены участниками открытого конкурса в электронной форме в соответствии с п.1 ч.1 ст.31 Закона о контрактной системе, а также требование, предъявляемое к участникам открытого конкурса в электронной форме в соответствии с ч.1.1 (при наличии такого требования) ст.31 Закона о контрактной системе.</w:t>
      </w:r>
    </w:p>
    <w:p>
      <w:pPr>
        <w:pStyle w:val="Style5"/>
        <w:tabs>
          <w:tab w:leader="none" w:pos="2530" w:val="left"/>
          <w:tab w:leader="none" w:pos="7791" w:val="center"/>
          <w:tab w:leader="none" w:pos="8871" w:val="left"/>
          <w:tab w:leader="none" w:pos="10201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п.1 ч.1 ст.31 Закона о контрактной системе при осуществлении закупки заказчик</w:t>
        <w:tab/>
        <w:t>устанавливает единое требование</w:t>
        <w:tab/>
        <w:t>к участникам</w:t>
        <w:tab/>
        <w:t>закупки</w:t>
        <w:tab/>
        <w:t>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5"/>
        <w:tabs>
          <w:tab w:leader="none" w:pos="2530" w:val="left"/>
          <w:tab w:leader="none" w:pos="7791" w:val="center"/>
          <w:tab w:leader="none" w:pos="8871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</w:t>
        <w:tab/>
        <w:t>Управления установлено, что</w:t>
        <w:tab/>
        <w:t>Заказчиком</w:t>
        <w:tab/>
        <w:t>в п.18.1</w:t>
      </w:r>
    </w:p>
    <w:p>
      <w:pPr>
        <w:pStyle w:val="Style5"/>
        <w:tabs>
          <w:tab w:leader="none" w:pos="2530" w:val="left"/>
          <w:tab w:leader="none" w:pos="7791" w:val="center"/>
          <w:tab w:leader="none" w:pos="10201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информационной карты предъявлены требования о наличии у Исполнителя лицензии на проведение предварительных и периодических медицинских осмотров, в соответствии с</w:t>
        <w:tab/>
        <w:t>приказом Минздравсоцразвития</w:t>
        <w:tab/>
        <w:t>Российской Федерации</w:t>
        <w:tab/>
        <w:t>от</w:t>
      </w:r>
    </w:p>
    <w:p>
      <w:pPr>
        <w:pStyle w:val="Style5"/>
        <w:numPr>
          <w:ilvl w:val="0"/>
          <w:numId w:val="5"/>
        </w:numPr>
        <w:tabs>
          <w:tab w:leader="none" w:pos="1450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№ 302н, включающей следующие направления: офтальмология;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психиатрия-наркология; неврология; оториноларингология; дерматовенерология; гинекология; функциональная диагностика; хирургия; проведение медицинских осмотров; профпатология; ультразвуковая диагностика; экспертиза профпригодности; рентгенология.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п.3 ч.6 ст.54.4 Закона о контрактной системе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документы, а именно: документы, подтверждающие соответствие участника открытого конкурса в электронной форме требованиям к участникам такого конкурса, установленным заказчиком в конкурсной документации в соответствии с п.1 ч.1 ст.31 Закона о контрактной системе, или копии таких документов, а также декларацию о соответствии участника открытого конкурса в электронной форме требованиям, установленным в соответствии с пп.3 - 9, 11 ч.1 ст.31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>
      <w:pPr>
        <w:pStyle w:val="Style5"/>
        <w:tabs>
          <w:tab w:leader="none" w:pos="3462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согласно п.22.2 информационной карты документации в составе второй части заявки участник закупки вправе представить, в том числе, копию лицензии Исполнителя на проведение предварительных и периодических медицинских осмотров, в соответствии с приказом Минздравсоцразвития РФ от 12.04.2011 г. № 302н, включающей следующие направления:</w:t>
        <w:tab/>
        <w:t>офтальмология; психиатрия-наркология; неврология;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оториноларингология; дерматовенерология; гинекология; функциональная диагностика; хирургия; проведение медицинских осмотров; профпатология; ультразвуковая диагностика; экспертиза профпригодности; рентгенология.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Заявителя пояснил, что ООО «МЦ «Хэлп» осуществляет медицинскую деятельность на основании лицензии № ЛО-77-01-013945 от 01.03.2017, в которой отсутствует указание на возможность общества в проведении медицинских осмотров по направлению «рентгенология».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в составе второй части заявки ООО «МЦ «Хэлп» приложен договор № 12/2012 от 19.10.2012, заключенный с ФГБУЗ «Поликлиника №1 РАН» на оказанию медицинских услуг по рентгенологическому, ультразвуковому и стоматологическому обследованию пациентов, ввиду чего конкурсная комиссия Заказчика данную заявку признана соответствующей требованиям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отмечает, что утвержденные Заказчиком положения п.22.2 информационной карты конкурсной документации в отношении участников закупки предусматривают возможность представления в составе второй части заявки копии лицензии, выданной Исполнителю.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представленные в составе заявки ООО «МЦ «Хэлп» договор № 12/2012 от 19.10.2012 и копия лицензии ФГБУЗ «Поликлиника №1 РАН» № ФС-99-01-008070 от 20.07.2012, содержащая указание на возможность осуществления медицинской деятельности по направлению «рентгенология», подтверждает соответствие ООО «МЦ «Хэлп» требованиям конкурсной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Доказательств несоответствия заявки ООО «МЦ «Хэлп» требованиям конкурсной документации с учетом представления в составе второй части заявки договора № 12/2012 от 19.10.2012 и копии лицензии № ФС-99-01-008070 от</w:t>
      </w:r>
    </w:p>
    <w:p>
      <w:pPr>
        <w:pStyle w:val="Style5"/>
        <w:numPr>
          <w:ilvl w:val="0"/>
          <w:numId w:val="7"/>
        </w:numPr>
        <w:tabs>
          <w:tab w:leader="none" w:pos="1493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в составе жалобы, а также на заседание Комиссии Управления не представлено.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ч.4 ст.54.7 Закона о контрактной системе заявка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непредставления документов и информации, предусмотренных пп.1 - 3, 7 ч.6 ст.54.4 Закона о контрактной системе, либо несоответствия указанных документов и информации требованиям, установленным конкурсной документацией;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наличия в документах и информации, предусмотренных ч.11 ст.24.1, ч.4 и 6 ст.54.4 Закона о контрактной системе, недостоверной информации на дату и время рассмотрения вторых частей заявок на участие в таком конкурсе;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несоответствия участника такого конкурса требованиям, установленным конкурсной документацией в соответствии с ч.1, ч.1.1 и 2.1 (при наличии таких требований) ст.31 Закона о контрактной системе;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случаях, предусмотренных нормативными правовыми актами, принятыми в соответствии со ст.14 Закона о контрактной системе;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непредставления документов, предусмотренных п.5 ч.6 ст.54.4 Закона о контрактной системе, при осуществлении закупки товаров, работ, услуг, в отношении которых установлен запрет, предусмотренный ст.14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решение конкурсной комиссии Заказчика о признании заявки ООО «МЦ «Хэлп» соответствующей положениям документации не противоречит положениям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ходе проведения внеплановой проверки Комиссией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Управления установлено.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в составе п.18 информационной карты документации установлены требования </w:t>
      </w:r>
      <w:r>
        <w:rPr>
          <w:rStyle w:val="CharStyle11"/>
        </w:rPr>
        <w:t>к участникам закупки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соответствии с положениями п.1 ч.1 ст.31 Закона о контрактной системе, вместе с тем использованные Заказчиком формулировки предусматривают наличие лицензии </w:t>
      </w:r>
      <w:r>
        <w:rPr>
          <w:rStyle w:val="CharStyle11"/>
        </w:rPr>
        <w:t>у Исполнителя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, при этом положениями законодательства разграничены понятия «участник закупки» и «Исполнитель», который может быть также привлечен к исполнению контракта в рамках договора субподряда.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Кроме того, в п.22.2 информационной карты Заказчиком предъявлены требования к составу второй части заявки на участие в конкурсной процедуры, которые предусматривают возможность представления копии, так например, лицензии </w:t>
      </w:r>
      <w:r>
        <w:rPr>
          <w:rStyle w:val="CharStyle11"/>
        </w:rPr>
        <w:t>Исполнителя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, вместе с тем содержание пункта указывает на необходимость представления документов, подтверждающих соответствие требованиям, установленным в п.18.1 информационной карты согласно положениям п.1 ч.1 ст.31 Закона о контрактной системе, относящихся к участникам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Управления установлено, что Заказчиком в составе конкурсной документации установлены противоречивые требований к участникам закупки, поскольку положениями п.18.1 предусмотрено наличие лицензии именно у </w:t>
      </w:r>
      <w:r>
        <w:rPr>
          <w:rStyle w:val="CharStyle11"/>
        </w:rPr>
        <w:t>участника закупки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а положения п.22.2 предусматривают возможность представления в составе заявки документов </w:t>
      </w:r>
      <w:r>
        <w:rPr>
          <w:rStyle w:val="CharStyle11"/>
        </w:rPr>
        <w:t>Исполнителя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.</w:t>
      </w:r>
    </w:p>
    <w:p>
      <w:pPr>
        <w:pStyle w:val="Style5"/>
        <w:tabs>
          <w:tab w:leader="none" w:pos="3327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 ч.1</w:t>
        <w:tab/>
        <w:t>ст.54.3 Закона о контрактной системе конкурсная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документация наряду с информацией, указанной в извещении о проведении открытого конкурса в электронной форме, должна содержать предусмотренные ст.54.4 Закона о контрактной системе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подобное установление в составе конкурсной документации требований к участникам закупки свидетельствует о нарушении Заказчиком положений п.4 ч.1 ст.54.3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center"/>
        <w:spacing w:before="0" w:after="303" w:line="260" w:lineRule="exact"/>
        <w:ind w:left="6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1"/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«САНМЕДЭКСПЕРТ» на действия конкурсной комиссии ФГБОУ ВО «НИУ«МЭИ» необоснованной.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п.4 ч.1 ст.54.3 Закона о контрактной системе.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244" w:line="326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об осуществлении закупок.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49" w:line="32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Председательствующий:</w:t>
      </w:r>
    </w:p>
    <w:p>
      <w:pPr>
        <w:pStyle w:val="Style5"/>
        <w:tabs>
          <w:tab w:leader="none" w:pos="9034" w:val="right"/>
          <w:tab w:leader="none" w:pos="10098" w:val="right"/>
        </w:tabs>
        <w:widowControl w:val="0"/>
        <w:keepNext w:val="0"/>
        <w:keepLines w:val="0"/>
        <w:shd w:val="clear" w:color="auto" w:fill="auto"/>
        <w:bidi w:val="0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ДА.</w:t>
        <w:tab/>
        <w:t>Сологов</w:t>
      </w:r>
    </w:p>
    <w:p>
      <w:pPr>
        <w:pStyle w:val="Style5"/>
        <w:tabs>
          <w:tab w:leader="none" w:pos="8727" w:val="left"/>
        </w:tabs>
        <w:widowControl w:val="0"/>
        <w:keepNext w:val="0"/>
        <w:keepLines w:val="0"/>
        <w:shd w:val="clear" w:color="auto" w:fill="auto"/>
        <w:bidi w:val="0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 Сомов</w:t>
      </w:r>
    </w:p>
    <w:p>
      <w:pPr>
        <w:pStyle w:val="Style5"/>
        <w:tabs>
          <w:tab w:leader="none" w:pos="8646" w:val="right"/>
          <w:tab w:leader="none" w:pos="10098" w:val="right"/>
        </w:tabs>
        <w:widowControl w:val="0"/>
        <w:keepNext w:val="0"/>
        <w:keepLines w:val="0"/>
        <w:shd w:val="clear" w:color="auto" w:fill="auto"/>
        <w:bidi w:val="0"/>
        <w:spacing w:before="0" w:after="5661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</w:t>
        <w:tab/>
        <w:t>А.А.</w:t>
        <w:tab/>
        <w:t>Кутейников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" w:right="64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Сомов К.А. 8(495)784-75-05 (077-143) </w:t>
      </w:r>
      <w:r>
        <w:rPr>
          <w:rStyle w:val="CharStyle14"/>
          <w:b w:val="0"/>
          <w:bCs w:val="0"/>
        </w:rPr>
        <w:t>2021-9526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19" w:left="849" w:right="837" w:bottom="12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1"/>
      <w:numFmt w:val="decimal"/>
      <w:lvlText w:val="12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12"/>
      <w:numFmt w:val="decimal"/>
      <w:lvlText w:val="20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3) + 13 pt,Не полужирный"/>
    <w:basedOn w:val="CharStyle13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6060" w:line="1138" w:lineRule="exact"/>
      <w:ind w:hanging="180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