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РТУ МИРЭА</w:t>
      </w:r>
    </w:p>
    <w:p>
      <w:pPr>
        <w:pStyle w:val="Style5"/>
        <w:widowControl w:val="0"/>
        <w:keepNext w:val="0"/>
        <w:keepLines w:val="0"/>
        <w:shd w:val="clear" w:color="auto" w:fill="auto"/>
        <w:bidi w:val="0"/>
        <w:jc w:val="left"/>
        <w:spacing w:before="0" w:after="349" w:line="322" w:lineRule="exact"/>
        <w:ind w:left="5320" w:right="820" w:firstLine="0"/>
      </w:pPr>
      <w:r>
        <w:rPr>
          <w:lang w:val="ru-RU" w:eastAsia="ru-RU" w:bidi="ru-RU"/>
          <w:w w:val="100"/>
          <w:spacing w:val="0"/>
          <w:color w:val="000000"/>
          <w:position w:val="0"/>
        </w:rPr>
        <w:t>Вернадского пр-т, д. 78, г. Москва, 119454</w:t>
      </w:r>
    </w:p>
    <w:p>
      <w:pPr>
        <w:pStyle w:val="Style5"/>
        <w:widowControl w:val="0"/>
        <w:keepNext w:val="0"/>
        <w:keepLines w:val="0"/>
        <w:shd w:val="clear" w:color="auto" w:fill="auto"/>
        <w:bidi w:val="0"/>
        <w:jc w:val="left"/>
        <w:spacing w:before="0" w:after="307" w:line="260" w:lineRule="exact"/>
        <w:ind w:left="5320" w:right="0" w:firstLine="0"/>
      </w:pPr>
      <w:r>
        <w:rPr>
          <w:lang w:val="ru-RU" w:eastAsia="ru-RU" w:bidi="ru-RU"/>
          <w:w w:val="100"/>
          <w:spacing w:val="0"/>
          <w:color w:val="000000"/>
          <w:position w:val="0"/>
        </w:rPr>
        <w:t>ООО «Радоника»</w:t>
      </w:r>
    </w:p>
    <w:p>
      <w:pPr>
        <w:pStyle w:val="Style5"/>
        <w:widowControl w:val="0"/>
        <w:keepNext w:val="0"/>
        <w:keepLines w:val="0"/>
        <w:shd w:val="clear" w:color="auto" w:fill="auto"/>
        <w:bidi w:val="0"/>
        <w:jc w:val="left"/>
        <w:spacing w:before="0" w:after="2036" w:line="317" w:lineRule="exact"/>
        <w:ind w:left="5320" w:right="400" w:firstLine="0"/>
      </w:pPr>
      <w:r>
        <w:rPr>
          <w:lang w:val="ru-RU" w:eastAsia="ru-RU" w:bidi="ru-RU"/>
          <w:w w:val="100"/>
          <w:spacing w:val="0"/>
          <w:color w:val="000000"/>
          <w:position w:val="0"/>
        </w:rPr>
        <w:t>ул. Остроумовская, д. 1Г, эт. 1, пом. 1, оф. 5, г. Москва, 107014</w:t>
      </w:r>
    </w:p>
    <w:p>
      <w:pPr>
        <w:pStyle w:val="Style8"/>
        <w:tabs>
          <w:tab w:leader="none" w:pos="11330" w:val="center"/>
          <w:tab w:leader="none" w:pos="12458" w:val="right"/>
        </w:tabs>
        <w:widowControl w:val="0"/>
        <w:keepNext w:val="0"/>
        <w:keepLines w:val="0"/>
        <w:shd w:val="clear" w:color="auto" w:fill="auto"/>
        <w:bidi w:val="0"/>
        <w:jc w:val="left"/>
        <w:spacing w:before="0" w:after="0"/>
        <w:ind w:left="2320" w:right="2340" w:firstLine="2040"/>
      </w:pPr>
      <w:r>
        <w:rPr>
          <w:lang w:val="ru-RU" w:eastAsia="ru-RU" w:bidi="ru-RU"/>
          <w:w w:val="100"/>
          <w:spacing w:val="0"/>
          <w:color w:val="000000"/>
          <w:position w:val="0"/>
        </w:rPr>
        <w:t>РЕШЕНИЕ по делу №077/06/106-2313/2021 о нарушении законодательства о контрактной системе</w:t>
      </w:r>
    </w:p>
    <w:p>
      <w:pPr>
        <w:pStyle w:val="Style8"/>
        <w:numPr>
          <w:ilvl w:val="0"/>
          <w:numId w:val="1"/>
        </w:numPr>
        <w:tabs>
          <w:tab w:leader="none" w:pos="9030" w:val="center"/>
          <w:tab w:leader="none" w:pos="10158" w:val="right"/>
          <w:tab w:leader="none" w:pos="8958"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w:t>
        <w:tab/>
        <w:t>Москва</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Члена Комиссии: специалиста 1 разряда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349" w:h="427" w:wrap="around" w:vAnchor="text" w:hAnchor="margin" w:x="354" w:y="304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000980949744</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при участии представителей РТУ МИРЭА, ООО «Радоника», рассмотрев жалобу ООО «Радоника» (далее — Заявитель) на действия РТУ МИРЭА (далее — Заказчик) при проведении электронного аукциона на право заключения государственного контракта на поставку координатно-измерительной машины (Закупка № 0373100029520000354)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w:t>
      </w:r>
      <w:r>
        <w:br w:type="page"/>
      </w:r>
    </w:p>
    <w:p>
      <w:pPr>
        <w:pStyle w:val="Style5"/>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0"/>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Согласно доводам жалобы Заказчиком неправомерно размещен протокол признания участника уклонившимся от заключения контракта от 02.02.2021 №ППУ1.</w:t>
      </w:r>
    </w:p>
    <w:p>
      <w:pPr>
        <w:pStyle w:val="Style5"/>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5"/>
        <w:numPr>
          <w:ilvl w:val="0"/>
          <w:numId w:val="3"/>
        </w:numPr>
        <w:tabs>
          <w:tab w:leader="none" w:pos="1379"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№0373100029520000354-3 победителем электронного аукциона признано ООО «Радоника».</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На основании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части 2.1 ст.83.2 Закона о контрактной системе),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Закона о контрактной системе, а также включения представленной в соответствии с Законом о контрактной системе информации о товаре (товарном знаке и (или) конкретных показателях товара, стране происхождения товара), информации, предусмотренной пунктом 2 части 4 статьи 54.4, пунктом 7 части 9 статьи 83.1 Закона о контрактной системе, указанных в заявке, окончательном предложении участника электронной процедуры.</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срок, установленный ч.2 ст.83.2 Закона о контрактной системе, 26.01.2021 Заказчиком размещен проект контракта для подписания Заявителем.</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ч. 3 ст. 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 4 ст. 83.2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Регламентированный срок подписания контракта или реализации права на направление протокола разногласий, предусмотренного ч.4 ст.83.2 Закона о контрактной системе истекал 01.02.2021.</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Вместе с тем победителем аукциона в срок, установленный ч.3 ст. 83.2 Закона о контрактной системе, а именно до 01.02.2021 включительно, не направлен Заказчику проект контракта и документ, подтверждающий предоставление обеспечения исполнения контракта, подписанные усиленной электронной подписью ООО «Радоника», а также не реализовано право на направление протокола разногласий.</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На заседании Комиссии Управления представитель Заявителя как самостоятельный факт не отрицал неисполнение требований ст.83.2 Закона о контрактной системе в части обязанности по подписанию контракта, и пояснил, что Заказчику предварительно был направлен текст банковской гарантии, подготовленной в качестве обеспечения исполнения контракта, на согласование по электронной почте:</w:t>
      </w:r>
      <w:r>
        <w:fldChar w:fldCharType="begin"/>
      </w:r>
      <w:r>
        <w:rPr>
          <w:color w:val="000000"/>
        </w:rPr>
        <w:instrText> HYPERLINK "mailto:dogovor@mirea.ru" </w:instrText>
      </w:r>
      <w:r>
        <w:fldChar w:fldCharType="separate"/>
      </w:r>
      <w:r>
        <w:rPr>
          <w:rStyle w:val="Hyperlink"/>
          <w:lang w:val="ru-RU" w:eastAsia="ru-RU" w:bidi="ru-RU"/>
          <w:w w:val="100"/>
          <w:spacing w:val="0"/>
          <w:position w:val="0"/>
        </w:rPr>
        <w:t xml:space="preserve"> </w:t>
      </w:r>
      <w:r>
        <w:rPr>
          <w:rStyle w:val="Hyperlink"/>
          <w:lang w:val="en-US" w:eastAsia="en-US" w:bidi="en-US"/>
          <w:w w:val="100"/>
          <w:spacing w:val="0"/>
          <w:position w:val="0"/>
        </w:rPr>
        <w:t>dogovor@mirea</w:t>
      </w:r>
      <w:r>
        <w:fldChar w:fldCharType="end"/>
      </w:r>
      <w:r>
        <w:rPr>
          <w:lang w:val="en-US" w:eastAsia="en-US" w:bidi="en-US"/>
          <w:w w:val="100"/>
          <w:spacing w:val="0"/>
          <w:color w:val="000000"/>
          <w:position w:val="0"/>
        </w:rPr>
        <w:t>.ru.</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Также в своей жалобе Заявитель указывает на то, что вышеописанные действия по направлению банковской гарантии на согласование Заказчику однозначно свидетельствовали о совершении действий по заключению контракта, при этом у Заказчика имелась возможность проинформировать ООО «Радоника» до истечения крайнего срока подписания контракта о необходимости подписать контракт, однако никакой информации в адрес победителя не поступило.</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Вместе с тем Комиссия Управления отмечает, что Законом о контрактной системе не предусмотрена обязанность Заказчика в согласовании банковской гарантии. Обеспечение исполнения контракта в силу требований законодательства о контрактной системе является бременем победителя закупочной процедуры и корректность такого обеспечения находится в поле ответственности победителя закупки. Также Комиссия Управления отмечает, что Закон о контрактной системе не содержит в себе нормы, которые обеспечивали бы возможность победителю закупки на этапе заключения контракта в рамках правового поля вести диалог с Заказчиком за пределами функционала Единой информационной системы.</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При этом учитывая обстоятельства, предшествовавшие наступлению срока заключения государственного контракта, участник закупки был осведомлен о соответствующих обязанностях победителя закупочной процедуры, в том числе по подписанию государственного контракта.</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Закон о контрактной системе не накладывает на Заказчика обязательств или полномочий по обеспечению подписания победителем проекта контракта посредством сопровождения, уведомления или информирования его о такой необходимости.</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При таких данных у Комиссии Управления отсутствуют правовые основания для признания Заказчика нарушившим требования Закона о контрактной системе при принятии решения об отказе от заключения контракта с ООО «Радоника».</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силу ч. 13 ст. 83.2 Закона о контрактной системе, победитель электронной процедуры (за исключением победителя, предусмотренного частью 14 ст. 83.2 Закона о контрактной системе) признается заказчиком уклонившимся от заключения контракта в случае, если в сроки, предусмотренные ст. 83.2 Закона о контрактной системе,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частью 4 ст. 83.2 Закона о контрактной системе, или не исполнил требования, предусмотренные статьей 37 Закона о контрактной системе (в случае снижения при проведении электронного аукциона или конкурса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Таким образом, Комиссия Управления приходит к выводу об отсутствии нарушений со стороны Заказчика при заключении контракта и признании доводов Заявителя необоснованными.</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r>
        <w:br w:type="page"/>
      </w:r>
    </w:p>
    <w:p>
      <w:pPr>
        <w:pStyle w:val="Style10"/>
        <w:widowControl w:val="0"/>
        <w:keepNext/>
        <w:keepLines/>
        <w:shd w:val="clear" w:color="auto" w:fill="auto"/>
        <w:bidi w:val="0"/>
        <w:spacing w:before="0" w:after="304" w:line="260" w:lineRule="exact"/>
        <w:ind w:left="40" w:right="0" w:firstLine="0"/>
      </w:pPr>
      <w:bookmarkStart w:id="1" w:name="bookmark1"/>
      <w:r>
        <w:rPr>
          <w:lang w:val="ru-RU" w:eastAsia="ru-RU" w:bidi="ru-RU"/>
          <w:w w:val="100"/>
          <w:spacing w:val="0"/>
          <w:color w:val="000000"/>
          <w:position w:val="0"/>
        </w:rPr>
        <w:t>Р Е Ш И Л А:</w:t>
      </w:r>
      <w:bookmarkEnd w:id="1"/>
    </w:p>
    <w:p>
      <w:pPr>
        <w:pStyle w:val="Style5"/>
        <w:numPr>
          <w:ilvl w:val="0"/>
          <w:numId w:val="5"/>
        </w:numPr>
        <w:widowControl w:val="0"/>
        <w:keepNext w:val="0"/>
        <w:keepLines w:val="0"/>
        <w:shd w:val="clear" w:color="auto" w:fill="auto"/>
        <w:bidi w:val="0"/>
        <w:jc w:val="both"/>
        <w:spacing w:before="0" w:after="0" w:line="326" w:lineRule="exact"/>
        <w:ind w:left="0" w:right="20" w:firstLine="860"/>
      </w:pPr>
      <w:r>
        <w:rPr>
          <w:lang w:val="ru-RU" w:eastAsia="ru-RU" w:bidi="ru-RU"/>
          <w:w w:val="100"/>
          <w:spacing w:val="0"/>
          <w:color w:val="000000"/>
          <w:position w:val="0"/>
        </w:rPr>
        <w:t xml:space="preserve"> Признать жалобу ООО «Радоника» на действия РТУ МИРЭА необоснованной.</w:t>
      </w:r>
    </w:p>
    <w:p>
      <w:pPr>
        <w:pStyle w:val="Style5"/>
        <w:numPr>
          <w:ilvl w:val="0"/>
          <w:numId w:val="5"/>
        </w:numPr>
        <w:widowControl w:val="0"/>
        <w:keepNext w:val="0"/>
        <w:keepLines w:val="0"/>
        <w:shd w:val="clear" w:color="auto" w:fill="auto"/>
        <w:bidi w:val="0"/>
        <w:jc w:val="both"/>
        <w:spacing w:before="0" w:after="300" w:line="322" w:lineRule="exact"/>
        <w:ind w:left="0" w:right="20" w:firstLine="86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10.02.2021 № ЕИ/7243/21.</w:t>
      </w:r>
    </w:p>
    <w:p>
      <w:pPr>
        <w:pStyle w:val="Style5"/>
        <w:widowControl w:val="0"/>
        <w:keepNext w:val="0"/>
        <w:keepLines w:val="0"/>
        <w:shd w:val="clear" w:color="auto" w:fill="auto"/>
        <w:bidi w:val="0"/>
        <w:jc w:val="both"/>
        <w:spacing w:before="0" w:after="43" w:line="322" w:lineRule="exact"/>
        <w:ind w:left="0" w:right="20" w:firstLine="8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5"/>
        <w:framePr w:w="4504" w:h="1925" w:wrap="around" w:vAnchor="text" w:hAnchor="margin" w:x="8" w:y="-323"/>
        <w:widowControl w:val="0"/>
        <w:keepNext w:val="0"/>
        <w:keepLines w:val="0"/>
        <w:shd w:val="clear" w:color="auto" w:fill="auto"/>
        <w:bidi w:val="0"/>
        <w:jc w:val="left"/>
        <w:spacing w:before="0" w:after="0" w:line="638" w:lineRule="exact"/>
        <w:ind w:left="0" w:right="100" w:firstLine="0"/>
      </w:pPr>
      <w:r>
        <w:rPr>
          <w:rStyle w:val="CharStyle6"/>
          <w:spacing w:val="0"/>
        </w:rPr>
        <w:t>Председатель Комиссии: Заместитель председателя Комиссии Член Комиссии:</w:t>
      </w:r>
    </w:p>
    <w:p>
      <w:pPr>
        <w:pStyle w:val="Style5"/>
        <w:widowControl w:val="0"/>
        <w:keepNext w:val="0"/>
        <w:keepLines w:val="0"/>
        <w:shd w:val="clear" w:color="auto" w:fill="auto"/>
        <w:bidi w:val="0"/>
        <w:jc w:val="right"/>
        <w:spacing w:before="0" w:after="6750" w:line="643" w:lineRule="exact"/>
        <w:ind w:left="3940" w:right="20" w:firstLine="0"/>
      </w:pPr>
      <w:r>
        <w:rPr>
          <w:lang w:val="ru-RU" w:eastAsia="ru-RU" w:bidi="ru-RU"/>
          <w:w w:val="100"/>
          <w:spacing w:val="0"/>
          <w:color w:val="000000"/>
          <w:position w:val="0"/>
        </w:rPr>
        <w:t>Л.Н. Харченко К.А. Сомов А.З. Касимова</w:t>
      </w:r>
    </w:p>
    <w:p>
      <w:pPr>
        <w:pStyle w:val="Style12"/>
        <w:widowControl w:val="0"/>
        <w:keepNext w:val="0"/>
        <w:keepLines w:val="0"/>
        <w:shd w:val="clear" w:color="auto" w:fill="auto"/>
        <w:bidi w:val="0"/>
        <w:jc w:val="left"/>
        <w:spacing w:before="0" w:after="0"/>
        <w:ind w:left="0" w:right="8040" w:firstLine="0"/>
      </w:pPr>
      <w:r>
        <w:rPr>
          <w:lang w:val="ru-RU" w:eastAsia="ru-RU" w:bidi="ru-RU"/>
          <w:w w:val="100"/>
          <w:spacing w:val="0"/>
          <w:color w:val="000000"/>
          <w:position w:val="0"/>
        </w:rPr>
        <w:t xml:space="preserve">Исп. Касимова А.З. </w:t>
      </w:r>
      <w:r>
        <w:fldChar w:fldCharType="begin"/>
      </w:r>
      <w:r>
        <w:rPr>
          <w:color w:val="000000"/>
        </w:rPr>
        <w:instrText> HYPERLINK "mailto:to77-kasimova@fas.gov.ru" </w:instrText>
      </w:r>
      <w:r>
        <w:fldChar w:fldCharType="separate"/>
      </w:r>
      <w:r>
        <w:rPr>
          <w:rStyle w:val="Hyperlink"/>
          <w:w w:val="100"/>
          <w:spacing w:val="0"/>
          <w:position w:val="0"/>
        </w:rPr>
        <w:t>to77-kasimova@fas.gov.ru</w:t>
      </w:r>
      <w:r>
        <w:fldChar w:fldCharType="end"/>
      </w:r>
    </w:p>
    <w:sectPr>
      <w:footnotePr>
        <w:pos w:val="pageBottom"/>
        <w:numFmt w:val="decimal"/>
        <w:numRestart w:val="continuous"/>
      </w:footnotePr>
      <w:type w:val="continuous"/>
      <w:pgSz w:w="11906" w:h="16838"/>
      <w:pgMar w:top="1190" w:left="848" w:right="842"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1.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lang w:val="en-US" w:eastAsia="en-US" w:bidi="en-US"/>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20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6420" w:line="230" w:lineRule="exact"/>
    </w:pPr>
    <w:rPr>
      <w:lang w:val="en-US" w:eastAsia="en-US" w:bidi="en-US"/>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