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ГБУ МФЦ г. Москва</w:t>
      </w:r>
    </w:p>
    <w:p>
      <w:pPr>
        <w:pStyle w:val="Style5"/>
        <w:widowControl w:val="0"/>
        <w:keepNext w:val="0"/>
        <w:keepLines w:val="0"/>
        <w:shd w:val="clear" w:color="auto" w:fill="auto"/>
        <w:bidi w:val="0"/>
        <w:jc w:val="left"/>
        <w:spacing w:before="0" w:after="346" w:line="317" w:lineRule="exact"/>
        <w:ind w:left="5320" w:right="40" w:firstLine="0"/>
      </w:pPr>
      <w:r>
        <w:rPr>
          <w:lang w:val="ru-RU" w:eastAsia="ru-RU" w:bidi="ru-RU"/>
          <w:w w:val="100"/>
          <w:spacing w:val="0"/>
          <w:color w:val="000000"/>
          <w:position w:val="0"/>
        </w:rPr>
        <w:t>Вознесенский пер., д. 22, г. Москва, 125009</w:t>
      </w:r>
    </w:p>
    <w:p>
      <w:pPr>
        <w:pStyle w:val="Style5"/>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ИП Сахаров А.В.</w:t>
      </w:r>
    </w:p>
    <w:p>
      <w:pPr>
        <w:pStyle w:val="Style5"/>
        <w:widowControl w:val="0"/>
        <w:keepNext w:val="0"/>
        <w:keepLines w:val="0"/>
        <w:shd w:val="clear" w:color="auto" w:fill="auto"/>
        <w:bidi w:val="0"/>
        <w:jc w:val="left"/>
        <w:spacing w:before="0" w:after="349" w:line="322" w:lineRule="exact"/>
        <w:ind w:left="5320" w:right="40" w:firstLine="0"/>
      </w:pPr>
      <w:r>
        <w:rPr>
          <w:lang w:val="ru-RU" w:eastAsia="ru-RU" w:bidi="ru-RU"/>
          <w:w w:val="100"/>
          <w:spacing w:val="0"/>
          <w:color w:val="000000"/>
          <w:position w:val="0"/>
        </w:rPr>
        <w:t>ул. Дунаева, д. 38, кв. 30, г. Иваново, 153037</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38" w:line="260" w:lineRule="exact"/>
        <w:ind w:left="5320" w:right="0" w:firstLine="0"/>
      </w:pPr>
      <w:r>
        <w:rPr>
          <w:lang w:val="ru-RU" w:eastAsia="ru-RU" w:bidi="ru-RU"/>
          <w:w w:val="100"/>
          <w:spacing w:val="0"/>
          <w:color w:val="000000"/>
          <w:position w:val="0"/>
        </w:rPr>
        <w:t>60-я Октября пр., д. 9, г. Москва, 117312</w:t>
      </w:r>
    </w:p>
    <w:p>
      <w:pPr>
        <w:pStyle w:val="Style8"/>
        <w:tabs>
          <w:tab w:leader="none" w:pos="8953" w:val="left"/>
        </w:tabs>
        <w:widowControl w:val="0"/>
        <w:keepNext w:val="0"/>
        <w:keepLines w:val="0"/>
        <w:shd w:val="clear" w:color="auto" w:fill="auto"/>
        <w:bidi w:val="0"/>
        <w:jc w:val="left"/>
        <w:spacing w:before="0" w:after="0"/>
        <w:ind w:left="20" w:right="40" w:firstLine="4360"/>
      </w:pPr>
      <w:r>
        <w:rPr>
          <w:lang w:val="ru-RU" w:eastAsia="ru-RU" w:bidi="ru-RU"/>
          <w:w w:val="100"/>
          <w:spacing w:val="0"/>
          <w:color w:val="000000"/>
          <w:position w:val="0"/>
        </w:rPr>
        <w:t>РЕШЕНИЕ по делу № 077/06/106-2306/2021 о нарушений законодательства о контрактной системе 12.02.2021</w:t>
        <w:tab/>
        <w:t>г. Москва</w:t>
      </w:r>
    </w:p>
    <w:p>
      <w:pPr>
        <w:pStyle w:val="Style5"/>
        <w:tabs>
          <w:tab w:leader="none" w:pos="10191" w:val="righ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Комиссия Управления</w:t>
        <w:tab/>
        <w:t>Федеральной антимонопольной службы</w:t>
      </w:r>
    </w:p>
    <w:p>
      <w:pPr>
        <w:pStyle w:val="Style5"/>
        <w:tabs>
          <w:tab w:leader="none" w:pos="10191"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 г. Москве по контролю</w:t>
        <w:tab/>
        <w:t>в сфере закупок товаров, работ, услуг</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(далее - Комиссия Управления) в составе:</w:t>
      </w:r>
    </w:p>
    <w:p>
      <w:pPr>
        <w:pStyle w:val="Style5"/>
        <w:widowControl w:val="0"/>
        <w:keepNext w:val="0"/>
        <w:keepLines w:val="0"/>
        <w:shd w:val="clear" w:color="auto" w:fill="auto"/>
        <w:bidi w:val="0"/>
        <w:jc w:val="left"/>
        <w:spacing w:before="0" w:after="0" w:line="322" w:lineRule="exact"/>
        <w:ind w:left="20" w:right="40" w:firstLine="8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tabs>
          <w:tab w:leader="none" w:pos="10191" w:val="righ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Заместителя председателя</w:t>
        <w:tab/>
        <w:t>Комиссии — главного государственного</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инспектора отдела обжалования государственных закупок К.А. Сомова,</w:t>
      </w:r>
    </w:p>
    <w:p>
      <w:pPr>
        <w:pStyle w:val="Style5"/>
        <w:widowControl w:val="0"/>
        <w:keepNext w:val="0"/>
        <w:keepLines w:val="0"/>
        <w:shd w:val="clear" w:color="auto" w:fill="auto"/>
        <w:bidi w:val="0"/>
        <w:jc w:val="left"/>
        <w:spacing w:before="0" w:after="0" w:line="322" w:lineRule="exact"/>
        <w:ind w:left="20" w:right="40" w:firstLine="84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tabs>
          <w:tab w:leader="none" w:pos="10191" w:val="righ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рассмотрение жалобы</w:t>
        <w:tab/>
        <w:t>проводилось дистанционно (посредством</w:t>
      </w:r>
    </w:p>
    <w:p>
      <w:pPr>
        <w:pStyle w:val="Style5"/>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 xml:space="preserve">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1" w:y="294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000968257731</w:t>
      </w:r>
    </w:p>
    <w:p>
      <w:pPr>
        <w:pStyle w:val="Style5"/>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при участии представителей ГБУ МФЦ г. Москва, ИП Сахаров А.В., рассмотрев жалобу ИП Сахаров А.В. (далее - Заявитель) на действия ГБУ МФЦ г. Москва (далее — Заказчик) при проведении электронного аукциона на право заключения государственного контракта на изготовление автономной роботизированной сервисной системы для нужд ГБУ МФЦ города Москвы (Закупка № 0373200597221000005)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w:t>
      </w:r>
      <w:r>
        <w:br w:type="page"/>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Административным регламентом),</w:t>
      </w:r>
    </w:p>
    <w:p>
      <w:pPr>
        <w:pStyle w:val="Style1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Заявитель обжалует действия Заказчика, выразившиеся в признании несоответствующей второй части заявки на участие в аукционе требованиям, установленным аукционной документацией.</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№ЕИ/7184/21 от 09.02.2021.</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протоколу подведения итогов электронного аукциона от 03.02.2021 №0373200597221000005-3-1 заявка ИП Сахаров А.В. признана не соответствующей требованиям аукционной документации на следующем основании: «ч. 6.1 ст. 66 44-ФЗ - предоставление недостоверной информации, содержащейся в документах, представленных участником электронного аукциона в соответствии с ч. 3, 5, 8.2 ст. 66 44-ФЗ. В заявке участника представлена недостоверная информация о наименовании страны происхождения товара, поставляемого при выполнении работ».</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 2 ст. 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п.18.1 информационной карты аукционной документации первая часть заявки на участие в электронном аукционе должна содержать, в том числе: «2. Наименование страны происхождения товара».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Комиссией Управления установлено, что в составе первой части заявки на участие в аукционе Заявителем выражено согласие на выполнение работ на условиях аукционной документации без указания страны происхождения товара.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Управления представитель Заявителя пояснил, что согласно Извещению о проведении электронного аукциона предметом закупки является изготовление автономной роботизированной сервисной системы для нужд ГБУ МФЦ города Москвы. Таким образом, по мнению Заявителя, поскольку аукционной документацией не предусмотрена поставка товара, Заявителем не была указана предполагаемая страна происхождения товара.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Управления отмечает, что в техническом задании аукционной документации присутствует указание на выполнение работ, в частности по разработке новых программных решений, а также установлен код ОКПД2 26.20.91.000 «Услуги по производству компьютеров и периферийного оборудования».</w:t>
      </w:r>
    </w:p>
    <w:p>
      <w:pPr>
        <w:pStyle w:val="Style5"/>
        <w:tabs>
          <w:tab w:leader="none" w:pos="1758" w:val="left"/>
        </w:tabs>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Также согласно п. 11.1 технического задания Заказчиком определен порядок сдачи и приемки выполненных работ путем подписания сторонами следующих документов:</w:t>
        <w:tab/>
        <w:t>счет, счет-фактура и акт сдачи-приемки выполненных работ,</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подписанный Подрядчиком в 2 экземплярах.</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условиями аукционной документации предусмотрена приемка выполненных работ.</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Управления отмечает, что передача изготовленного товара по окончании выполненных работ не свидетельствует о поставке товара в понятии ч.3 ст.66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Договор поставки является отдельным видом договора купли-продажи и в соответствии с положениями п.5 ст.454 Гражданского кодекса Российской Федерации к договору поставки применяются положения, предусмотренные пар.1 гл.30 Гражданского кодекса Российской Федерации о купле-продаже, если иное не предусмотрено правилами Гражданского кодекса Российской Федерации об этом виде договора.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рамках рассматриваемой аукционной документации не разграничены порядок исполнения самостоятельных обязательств по поставке и по подряду, условия об обеспечении этих обязательств и ответственность за их нарушение.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 предметом договора подряда является изготовление индивидуально-определенного изделия, в то время как предметом договора купли-продажи обычно выступает имущество, характеризуемое родовыми признаками. Кроме того, условия договора подряда направлены прежде всего на определение взаимоотношений сторон в процессе выполнения обусловленных работ, а при купле-продаже главное содержание договора составляет передача (поставка предмета договора другой стороне - покупателю).</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предмете договора подряда в отличие от купли-продажи работа как процесс и вещь как результат этой работы неразрывно связаны: сама по себе работа или вещь, к которой не приложена работа передающего ее лица, образует предмет других договоров (постановление Семнадцатого арбитражного апелляционного суда от 30.09.10 по делу № А50-9346/2010).</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изначально сформированные в нарушение ч.6 ст.66 и п.2 ч.1 ст.64 Закона о контрактной системе требования к составу заявки о представлении страны происхождения товара, который в рамках рассматриваемой закупки, по мнению Комиссии Управления, не может быть идентифицирован как поставляемый, повлекли за собой нарушение аукционной комиссии Заказчика Закона о контрактной системе при отклонении заявки Заявителя.</w:t>
      </w:r>
    </w:p>
    <w:p>
      <w:pPr>
        <w:pStyle w:val="Style5"/>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Более того, протокол подведения итогов электронного аукциона содержит обоснование признания заявки Заявителя со ссылкой на недостоверность страны происхождения товара, в то время как страна происхождения товара в заявке отсутствует, что как самостоятельный факт имеет признаки нарушения ч.8 ст.69 Закона о контрактной системе, поскольку не основано на фактическом содержании заявки.</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 6 ст. 69 Закона о контрактной системе, Заявка на участие в электронном аукционе признается несоответствующей требованиям, установленным документацией о таком аукционе, в случае: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ст. 69 Закона о контрактной системе, не допускается.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таких данных, с учетом проведения закупочной процедуры на изготовление автономной роботизированной сервисной системы, что исходя из содержания документации и Извещения является выполнением работ, решение аукционной комиссии Заказчика в части признания второй части заявки Заявителя не соответствующей требованиям аукционной документации, Закона о контрактной системе по основаниям, указанным в протоколе подведения итогов, является неправомерным, а также нарушает положения ч. 7 ст. 69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299" w:line="260" w:lineRule="exact"/>
        <w:ind w:left="0" w:right="0" w:firstLine="0"/>
      </w:pPr>
      <w:r>
        <w:rPr>
          <w:lang w:val="ru-RU" w:eastAsia="ru-RU" w:bidi="ru-RU"/>
          <w:w w:val="100"/>
          <w:spacing w:val="0"/>
          <w:color w:val="000000"/>
          <w:position w:val="0"/>
        </w:rPr>
        <w:t>РЕШИЛА:</w:t>
      </w:r>
    </w:p>
    <w:p>
      <w:pPr>
        <w:pStyle w:val="Style5"/>
        <w:numPr>
          <w:ilvl w:val="0"/>
          <w:numId w:val="3"/>
        </w:numPr>
        <w:widowControl w:val="0"/>
        <w:keepNext w:val="0"/>
        <w:keepLines w:val="0"/>
        <w:shd w:val="clear" w:color="auto" w:fill="auto"/>
        <w:bidi w:val="0"/>
        <w:jc w:val="left"/>
        <w:spacing w:before="0" w:after="0" w:line="326" w:lineRule="exact"/>
        <w:ind w:left="0" w:right="0" w:firstLine="720"/>
      </w:pPr>
      <w:r>
        <w:rPr>
          <w:lang w:val="ru-RU" w:eastAsia="ru-RU" w:bidi="ru-RU"/>
          <w:w w:val="100"/>
          <w:spacing w:val="0"/>
          <w:color w:val="000000"/>
          <w:position w:val="0"/>
        </w:rPr>
        <w:t xml:space="preserve"> Признать жалобу ИП Сахаров А.В. на действия аукционной комиссии ГБУ МФЦ г. Москва обоснованной.</w:t>
      </w:r>
    </w:p>
    <w:p>
      <w:pPr>
        <w:pStyle w:val="Style5"/>
        <w:numPr>
          <w:ilvl w:val="0"/>
          <w:numId w:val="3"/>
        </w:numPr>
        <w:widowControl w:val="0"/>
        <w:keepNext w:val="0"/>
        <w:keepLines w:val="0"/>
        <w:shd w:val="clear" w:color="auto" w:fill="auto"/>
        <w:bidi w:val="0"/>
        <w:jc w:val="left"/>
        <w:spacing w:before="0" w:after="0" w:line="322" w:lineRule="exact"/>
        <w:ind w:left="0" w:right="0" w:firstLine="720"/>
      </w:pPr>
      <w:r>
        <w:rPr>
          <w:lang w:val="ru-RU" w:eastAsia="ru-RU" w:bidi="ru-RU"/>
          <w:w w:val="100"/>
          <w:spacing w:val="0"/>
          <w:color w:val="000000"/>
          <w:position w:val="0"/>
        </w:rPr>
        <w:t xml:space="preserve"> Признать в действиях аукционной комиссий Заказчика нарушение ч.7 ст.69 Закона о контрактной системе</w:t>
      </w:r>
    </w:p>
    <w:p>
      <w:pPr>
        <w:pStyle w:val="Style5"/>
        <w:numPr>
          <w:ilvl w:val="0"/>
          <w:numId w:val="3"/>
        </w:numPr>
        <w:widowControl w:val="0"/>
        <w:keepNext w:val="0"/>
        <w:keepLines w:val="0"/>
        <w:shd w:val="clear" w:color="auto" w:fill="auto"/>
        <w:bidi w:val="0"/>
        <w:jc w:val="left"/>
        <w:spacing w:before="0" w:after="296" w:line="317" w:lineRule="exact"/>
        <w:ind w:left="0" w:right="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left"/>
        <w:spacing w:before="0" w:after="0" w:line="322" w:lineRule="exact"/>
        <w:ind w:left="0" w:right="0" w:firstLine="72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гл. 24 АПК РФ.</w:t>
      </w:r>
    </w:p>
    <w:p>
      <w:pPr>
        <w:pStyle w:val="Style5"/>
        <w:framePr w:h="245" w:vSpace="720" w:wrap="around" w:vAnchor="text" w:hAnchor="margin" w:x="8354" w:y="1"/>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5"/>
        <w:framePr w:h="240" w:wrap="around" w:vAnchor="text" w:hAnchor="margin" w:x="8714" w:y="1"/>
        <w:widowControl w:val="0"/>
        <w:keepNext w:val="0"/>
        <w:keepLines w:val="0"/>
        <w:shd w:val="clear" w:color="auto" w:fill="auto"/>
        <w:bidi w:val="0"/>
        <w:jc w:val="left"/>
        <w:spacing w:before="0" w:after="0" w:line="240" w:lineRule="exact"/>
        <w:ind w:left="100" w:right="0" w:firstLine="0"/>
      </w:pPr>
      <w:r>
        <w:rPr>
          <w:rStyle w:val="CharStyle6"/>
          <w:spacing w:val="0"/>
        </w:rPr>
        <w:t>К.А. Сомов</w:t>
      </w:r>
    </w:p>
    <w:p>
      <w:pPr>
        <w:pStyle w:val="Style5"/>
        <w:framePr w:h="240" w:wrap="around" w:vAnchor="text" w:hAnchor="margin" w:x="8368" w:y="644"/>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6868" w:line="260" w:lineRule="exact"/>
        <w:ind w:left="0" w:right="0" w:firstLine="0"/>
      </w:pPr>
      <w:r>
        <w:rPr>
          <w:lang w:val="ru-RU" w:eastAsia="ru-RU" w:bidi="ru-RU"/>
          <w:w w:val="100"/>
          <w:spacing w:val="0"/>
          <w:color w:val="000000"/>
          <w:position w:val="0"/>
        </w:rPr>
        <w:t>Член Комиссии:</w:t>
      </w:r>
    </w:p>
    <w:p>
      <w:pPr>
        <w:pStyle w:val="Style13"/>
        <w:widowControl w:val="0"/>
        <w:keepNext w:val="0"/>
        <w:keepLines w:val="0"/>
        <w:shd w:val="clear" w:color="auto" w:fill="auto"/>
        <w:bidi w:val="0"/>
        <w:jc w:val="left"/>
        <w:spacing w:before="0" w:after="0"/>
        <w:ind w:left="0" w:right="438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50" w:right="837"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19"/>
        <w:szCs w:val="19"/>
        <w:rFonts w:ascii="Times New Roman" w:eastAsia="Times New Roman" w:hAnsi="Times New Roman" w:cs="Times New Roman"/>
        <w:w w:val="100"/>
        <w:spacing w:val="2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9,5 pt,Полужирный,Интервал 1 pt"/>
    <w:basedOn w:val="CharStyle7"/>
    <w:rPr>
      <w:lang w:val="ru-RU" w:eastAsia="ru-RU" w:bidi="ru-RU"/>
      <w:b/>
      <w:bCs/>
      <w:sz w:val="19"/>
      <w:szCs w:val="19"/>
      <w:w w:val="100"/>
      <w:spacing w:val="20"/>
      <w:color w:val="000000"/>
      <w:position w:val="0"/>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9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960" w:line="230" w:lineRule="exact"/>
    </w:pPr>
    <w:rPr>
      <w:lang w:val="en-US" w:eastAsia="en-US" w:bidi="en-US"/>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