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0"/>
        <w:ind w:left="5320" w:right="640" w:firstLine="0"/>
      </w:pPr>
      <w:r>
        <w:rPr>
          <w:lang w:val="ru-RU" w:eastAsia="ru-RU" w:bidi="ru-RU"/>
          <w:w w:val="100"/>
          <w:spacing w:val="0"/>
          <w:color w:val="000000"/>
          <w:position w:val="0"/>
        </w:rPr>
        <w:t>Департамент городского имущества города Москвы</w:t>
      </w:r>
    </w:p>
    <w:p>
      <w:pPr>
        <w:pStyle w:val="Style5"/>
        <w:widowControl w:val="0"/>
        <w:keepNext w:val="0"/>
        <w:keepLines w:val="0"/>
        <w:shd w:val="clear" w:color="auto" w:fill="auto"/>
        <w:bidi w:val="0"/>
        <w:jc w:val="left"/>
        <w:spacing w:before="0" w:after="300"/>
        <w:ind w:left="5320" w:right="480" w:firstLine="0"/>
      </w:pPr>
      <w:r>
        <w:rPr>
          <w:lang w:val="ru-RU" w:eastAsia="ru-RU" w:bidi="ru-RU"/>
          <w:w w:val="100"/>
          <w:spacing w:val="0"/>
          <w:color w:val="000000"/>
          <w:position w:val="0"/>
        </w:rPr>
        <w:t>1-й Красногвардейский проезд, д. 21, стр. 1, г. Москва, 123112</w:t>
      </w:r>
    </w:p>
    <w:p>
      <w:pPr>
        <w:pStyle w:val="Style5"/>
        <w:widowControl w:val="0"/>
        <w:keepNext w:val="0"/>
        <w:keepLines w:val="0"/>
        <w:shd w:val="clear" w:color="auto" w:fill="auto"/>
        <w:bidi w:val="0"/>
        <w:jc w:val="left"/>
        <w:spacing w:before="0" w:after="304"/>
        <w:ind w:left="5320" w:right="480" w:firstLine="0"/>
      </w:pPr>
      <w:r>
        <w:rPr>
          <w:lang w:val="ru-RU" w:eastAsia="ru-RU" w:bidi="ru-RU"/>
          <w:w w:val="100"/>
          <w:spacing w:val="0"/>
          <w:color w:val="000000"/>
          <w:position w:val="0"/>
        </w:rPr>
        <w:t>Департамент г. Москвы по конкурентной политике</w:t>
      </w:r>
    </w:p>
    <w:p>
      <w:pPr>
        <w:pStyle w:val="Style5"/>
        <w:widowControl w:val="0"/>
        <w:keepNext w:val="0"/>
        <w:keepLines w:val="0"/>
        <w:shd w:val="clear" w:color="auto" w:fill="auto"/>
        <w:bidi w:val="0"/>
        <w:jc w:val="left"/>
        <w:spacing w:before="0" w:after="346" w:line="317" w:lineRule="exact"/>
        <w:ind w:left="5320" w:right="480" w:firstLine="0"/>
      </w:pPr>
      <w:r>
        <w:rPr>
          <w:lang w:val="ru-RU" w:eastAsia="ru-RU" w:bidi="ru-RU"/>
          <w:w w:val="100"/>
          <w:spacing w:val="0"/>
          <w:color w:val="000000"/>
          <w:position w:val="0"/>
        </w:rPr>
        <w:t>ул. Макаренко, д. 4, стр. 1, г. Москва, 105062</w:t>
      </w:r>
    </w:p>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ООО «Спектр»</w:t>
      </w:r>
    </w:p>
    <w:p>
      <w:pPr>
        <w:pStyle w:val="Style5"/>
        <w:widowControl w:val="0"/>
        <w:keepNext w:val="0"/>
        <w:keepLines w:val="0"/>
        <w:shd w:val="clear" w:color="auto" w:fill="auto"/>
        <w:bidi w:val="0"/>
        <w:jc w:val="left"/>
        <w:spacing w:before="0" w:after="836" w:line="317" w:lineRule="exact"/>
        <w:ind w:left="5320" w:right="40" w:firstLine="0"/>
      </w:pPr>
      <w:r>
        <w:rPr>
          <w:lang w:val="ru-RU" w:eastAsia="ru-RU" w:bidi="ru-RU"/>
          <w:w w:val="100"/>
          <w:spacing w:val="0"/>
          <w:color w:val="000000"/>
          <w:position w:val="0"/>
        </w:rPr>
        <w:t>ул. Зои и Александра Космодемьянских, д. 4, корп. 2, эт. 2, пом. 3, г. Москва, 125171</w:t>
      </w:r>
    </w:p>
    <w:p>
      <w:pPr>
        <w:pStyle w:val="Style8"/>
        <w:tabs>
          <w:tab w:leader="none" w:pos="10134" w:val="right"/>
        </w:tabs>
        <w:widowControl w:val="0"/>
        <w:keepNext w:val="0"/>
        <w:keepLines w:val="0"/>
        <w:shd w:val="clear" w:color="auto" w:fill="auto"/>
        <w:bidi w:val="0"/>
        <w:jc w:val="left"/>
        <w:spacing w:before="0" w:after="0"/>
        <w:ind w:left="20" w:right="40"/>
      </w:pPr>
      <w:r>
        <w:rPr>
          <w:lang w:val="ru-RU" w:eastAsia="ru-RU" w:bidi="ru-RU"/>
          <w:w w:val="100"/>
          <w:spacing w:val="0"/>
          <w:color w:val="000000"/>
          <w:position w:val="0"/>
        </w:rPr>
        <w:t>РЕШЕНИЕ по делу №077/06/106-2315/2021 о нарушении законодательства о контрактной системе 12.02.2021</w:t>
        <w:tab/>
        <w:t>Москва</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при участии представителей Департамента городского имущества города Москвы, Департамента г. Москвы по конкурентной политике,</w:t>
      </w:r>
    </w:p>
    <w:p>
      <w:pPr>
        <w:pStyle w:val="Style3"/>
        <w:framePr w:w="1349" w:h="427" w:wrap="around" w:vAnchor="text" w:hAnchor="margin" w:x="351" w:y="101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001755255680</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в отсутствие представителей ООО «Спектр», о времени и порядке заседания Комиссии уведомлены письмом Московского УФАС России от 10.02.2021</w:t>
      </w:r>
      <w:r>
        <w:br w:type="page"/>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№ЕИ/7215/21,</w:t>
      </w:r>
    </w:p>
    <w:p>
      <w:pPr>
        <w:pStyle w:val="Style5"/>
        <w:widowControl w:val="0"/>
        <w:keepNext w:val="0"/>
        <w:keepLines w:val="0"/>
        <w:shd w:val="clear" w:color="auto" w:fill="auto"/>
        <w:bidi w:val="0"/>
        <w:jc w:val="both"/>
        <w:spacing w:before="0" w:after="349"/>
        <w:ind w:left="0" w:right="20" w:firstLine="840"/>
      </w:pPr>
      <w:r>
        <w:rPr>
          <w:lang w:val="ru-RU" w:eastAsia="ru-RU" w:bidi="ru-RU"/>
          <w:w w:val="100"/>
          <w:spacing w:val="0"/>
          <w:color w:val="000000"/>
          <w:position w:val="0"/>
        </w:rPr>
        <w:t>рассмотрев жалобу ООО «Спектр» (далее — Заявитель) на действия Департамента городского имущества города Москвы (далее — Заказчик) при проведении электронного аукциона на право заключения государственного контракта на оказание комплекса услуг по поддержанию эксплуатационных показателей зданий и помещений Департамента городского имущества города Москвы (Закупка № 0173200001421000027)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10.02.2021 № ЕИ/7215/21.</w:t>
      </w:r>
    </w:p>
    <w:p>
      <w:pPr>
        <w:pStyle w:val="Style5"/>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tabs>
          <w:tab w:leader="none" w:pos="3346" w:val="left"/>
        </w:tabs>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Согласно протоколу подведения итогов электронного аукциона от 05.02.2021 №0173200001421000027-3 вторая часть заявки ООО «Спектр» признана не соответствующей требованиям аукционной документации на следующем основании:</w:t>
        <w:tab/>
        <w:t>«Заявка участника признана не соответствующей</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требованиям, установленными п.2 ч. 6 статьи 69 Федерального Закона от 05.04.2013 г. № 44-ФЗ и аукционной документацией (п.25.1 раздела IV «Размер и порядок обеспечения заявок на участие в закупке, обеспечения исполнения контракта, гарантийных обязательств»), а именно: - требования к банковской гарантии утверждены постановлением Правительства Российской Федерации от 08.11.2013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где в частности указано, что Банковская гарантия оформляется на условиях, определенных гражданским законодательством.</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В условии Гарантии выданной Участнику закупки указано «Требование Бенефициара по настоящей Гарантии должно быть получено гарантом до истечения срока действия настоящей Гарантии». В соответствии со ст. 165.1. Гражданского кодекса Российской Федерации, заявления, уведомления, извещения, требования или иные юридически значимые сообщения, с которыми закон или сделка связывает гражданско-правовые последствия для другого лица, влекут для Гаранта последствия с момента доставки соответствующего сообщения. Таким образом, представленная банковская гарантия не соответствует требованиям ст. 165.1 ГК РФ. Бенефициар имеет право направить требование в бумажном виде и в форме электронного документа в срок действия банковской гарантии. Срок установлен в датах от и до. При направлении Требования в Банк в бумажной форме, Бенефициар имеет право направить в организацию связи необходимые документы в целях получения платежа до двадцати четырех часов последнего дня срока согласно ст. 194 ГК РФ. Письменные заявления и извещения, сданные в организацию связи до двадцати четырех часов последнего дня срока, считаются сделанными в срок, что подтверждает отсутствие недобросовестности в реализации права на получение платежа. Согласно п. 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 Исходя из совокупности применения п. 2 ст. 194 и п. 2 ст. 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ч.2 ст.44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ч.4 ст.44 Закона о контрактной системе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ст.45 Закона о контрактной системе.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5"/>
        <w:numPr>
          <w:ilvl w:val="0"/>
          <w:numId w:val="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отсутствие информации о банковской гарантии в предусмотренных ст.45 Закона о контрактной системе реестрах банковских гарантий;</w:t>
      </w:r>
    </w:p>
    <w:p>
      <w:pPr>
        <w:pStyle w:val="Style5"/>
        <w:numPr>
          <w:ilvl w:val="0"/>
          <w:numId w:val="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5"/>
        <w:numPr>
          <w:ilvl w:val="0"/>
          <w:numId w:val="1"/>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Частью 1 статьи 31 Закона о контрактной системе предусмотрено, что при осуществлении закупки заказчик устанавливает единые требования к участникам закупки.</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На заседании Комиссии Управления установлено, что Заявителем в качестве обеспечения заявки представлена банковская гарантия №03663-21-10 от 27.01.2021, выданная ПАО «Промсвязьбанк» (далее — банковская гарантия).</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Согласно ч.8.2 ст.45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На заседании Комиссии Управления установлено, что в Банковской гарантии предусмотрено следующее: «...Требование по Гарантии и направляемые вместе с ним документы и (или) их копии на бумажном носителе должны быть предъявлены Бенефициаром Гаранту по адресу: 109052, г. Москва, ул. Смирновская, дом 10, строение 22»; «...Требование Бенефициара по настоящей Гарантии </w:t>
      </w:r>
      <w:r>
        <w:rPr>
          <w:rStyle w:val="CharStyle12"/>
        </w:rPr>
        <w:t>должно быть получено Гарантом до истечения срока действия настоящей Гарантии».</w:t>
      </w:r>
    </w:p>
    <w:p>
      <w:pPr>
        <w:pStyle w:val="Style5"/>
        <w:tabs>
          <w:tab w:leader="none" w:pos="7666" w:val="left"/>
        </w:tabs>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Комиссия Управления отмечает, что положение «Требование по Гарантии и направляемые вместе с ним документы и (или) их копии на бумажном носителе должны быть предъявлены Бенефициаром Гаранту по адресу:</w:t>
        <w:tab/>
        <w:t>109052, г. Москва,</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ул. Смирновская, дом 10, строение 22» устанавливает условия направления требования </w:t>
      </w:r>
      <w:r>
        <w:rPr>
          <w:rStyle w:val="CharStyle12"/>
        </w:rPr>
        <w:t>в части адреса,</w:t>
      </w:r>
      <w:r>
        <w:rPr>
          <w:lang w:val="ru-RU" w:eastAsia="ru-RU" w:bidi="ru-RU"/>
          <w:w w:val="100"/>
          <w:spacing w:val="0"/>
          <w:color w:val="000000"/>
          <w:position w:val="0"/>
        </w:rPr>
        <w:t xml:space="preserve"> в то время как положение «...Требование Бенефициара по настоящей Гарантии должно быть получено Гарантом до истечения срока действия настоящей Гарантии» регулирует условия </w:t>
      </w:r>
      <w:r>
        <w:rPr>
          <w:rStyle w:val="CharStyle12"/>
        </w:rPr>
        <w:t>в части срока</w:t>
      </w:r>
      <w:r>
        <w:rPr>
          <w:lang w:val="ru-RU" w:eastAsia="ru-RU" w:bidi="ru-RU"/>
          <w:w w:val="100"/>
          <w:spacing w:val="0"/>
          <w:color w:val="000000"/>
          <w:position w:val="0"/>
        </w:rPr>
        <w:t xml:space="preserve"> направления требования по гарантии.</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Исходя из совокупности применения п.2 ст.194 и п.2 ст.374 Гражданского</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 2 ч. 6 ст. 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ч.2 и 3 ст.45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аукционной комиссией решения в части признания заявки Заявителя несоответствующей является правомерным.</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10"/>
        <w:widowControl w:val="0"/>
        <w:keepNext/>
        <w:keepLines/>
        <w:shd w:val="clear" w:color="auto" w:fill="auto"/>
        <w:bidi w:val="0"/>
        <w:jc w:val="center"/>
        <w:spacing w:before="0" w:after="303" w:line="260" w:lineRule="exact"/>
        <w:ind w:left="20" w:right="0" w:firstLine="0"/>
      </w:pPr>
      <w:bookmarkStart w:id="1" w:name="bookmark1"/>
      <w:r>
        <w:rPr>
          <w:lang w:val="ru-RU" w:eastAsia="ru-RU" w:bidi="ru-RU"/>
          <w:w w:val="100"/>
          <w:spacing w:val="0"/>
          <w:color w:val="000000"/>
          <w:position w:val="0"/>
        </w:rPr>
        <w:t>РЕШИЛА:</w:t>
      </w:r>
      <w:bookmarkEnd w:id="1"/>
    </w:p>
    <w:p>
      <w:pPr>
        <w:pStyle w:val="Style5"/>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Признать жалобу ООО «Спектр» на действия Департамента городского имущества города Москвы необоснованной.</w:t>
      </w:r>
    </w:p>
    <w:p>
      <w:pPr>
        <w:pStyle w:val="Style5"/>
        <w:numPr>
          <w:ilvl w:val="0"/>
          <w:numId w:val="5"/>
        </w:numPr>
        <w:widowControl w:val="0"/>
        <w:keepNext w:val="0"/>
        <w:keepLines w:val="0"/>
        <w:shd w:val="clear" w:color="auto" w:fill="auto"/>
        <w:bidi w:val="0"/>
        <w:jc w:val="both"/>
        <w:spacing w:before="0" w:after="300"/>
        <w:ind w:left="0" w:right="20" w:firstLine="86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 10.02.2021 № ЕИ/7215/21.</w:t>
      </w:r>
    </w:p>
    <w:p>
      <w:pPr>
        <w:pStyle w:val="Style5"/>
        <w:widowControl w:val="0"/>
        <w:keepNext w:val="0"/>
        <w:keepLines w:val="0"/>
        <w:shd w:val="clear" w:color="auto" w:fill="auto"/>
        <w:bidi w:val="0"/>
        <w:jc w:val="both"/>
        <w:spacing w:before="0" w:after="43"/>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framePr w:w="4504" w:h="1925" w:wrap="around" w:vAnchor="text" w:hAnchor="margin" w:x="15" w:y="-323"/>
        <w:widowControl w:val="0"/>
        <w:keepNext w:val="0"/>
        <w:keepLines w:val="0"/>
        <w:shd w:val="clear" w:color="auto" w:fill="auto"/>
        <w:bidi w:val="0"/>
        <w:jc w:val="left"/>
        <w:spacing w:before="0" w:after="0" w:line="638" w:lineRule="exact"/>
        <w:ind w:left="0" w:right="100" w:firstLine="0"/>
      </w:pPr>
      <w:r>
        <w:rPr>
          <w:rStyle w:val="CharStyle6"/>
        </w:rPr>
        <w:t>Председатель Комиссии: Заместитель председателя Комиссии Член Комиссии:</w:t>
      </w:r>
    </w:p>
    <w:p>
      <w:pPr>
        <w:pStyle w:val="Style5"/>
        <w:widowControl w:val="0"/>
        <w:keepNext w:val="0"/>
        <w:keepLines w:val="0"/>
        <w:shd w:val="clear" w:color="auto" w:fill="auto"/>
        <w:bidi w:val="0"/>
        <w:jc w:val="right"/>
        <w:spacing w:before="0" w:after="6330" w:line="643" w:lineRule="exact"/>
        <w:ind w:left="3940" w:right="20" w:firstLine="0"/>
      </w:pPr>
      <w:r>
        <w:rPr>
          <w:lang w:val="ru-RU" w:eastAsia="ru-RU" w:bidi="ru-RU"/>
          <w:w w:val="100"/>
          <w:spacing w:val="0"/>
          <w:color w:val="000000"/>
          <w:position w:val="0"/>
        </w:rPr>
        <w:t>Л.Н. Харченко К.А. Сомов А.З. Касимова</w:t>
      </w:r>
    </w:p>
    <w:p>
      <w:pPr>
        <w:pStyle w:val="Style13"/>
        <w:widowControl w:val="0"/>
        <w:keepNext w:val="0"/>
        <w:keepLines w:val="0"/>
        <w:shd w:val="clear" w:color="auto" w:fill="auto"/>
        <w:bidi w:val="0"/>
        <w:jc w:val="left"/>
        <w:spacing w:before="0" w:after="0"/>
        <w:ind w:left="0" w:right="804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49" w:right="838"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7"/>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84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00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