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0"/>
        <w:ind w:left="5320" w:right="360" w:firstLine="0"/>
      </w:pPr>
      <w:r>
        <w:rPr>
          <w:lang w:val="ru-RU" w:eastAsia="ru-RU" w:bidi="ru-RU"/>
          <w:w w:val="100"/>
          <w:spacing w:val="0"/>
          <w:color w:val="000000"/>
          <w:position w:val="0"/>
        </w:rPr>
        <w:t>Департамент города Москвы по Конкурентной политике</w:t>
      </w:r>
    </w:p>
    <w:p>
      <w:pPr>
        <w:pStyle w:val="Style5"/>
        <w:widowControl w:val="0"/>
        <w:keepNext w:val="0"/>
        <w:keepLines w:val="0"/>
        <w:shd w:val="clear" w:color="auto" w:fill="auto"/>
        <w:bidi w:val="0"/>
        <w:jc w:val="left"/>
        <w:spacing w:before="0" w:after="259"/>
        <w:ind w:left="5320" w:right="360" w:firstLine="0"/>
      </w:pPr>
      <w:r>
        <w:rPr>
          <w:lang w:val="ru-RU" w:eastAsia="ru-RU" w:bidi="ru-RU"/>
          <w:w w:val="100"/>
          <w:spacing w:val="0"/>
          <w:color w:val="000000"/>
          <w:position w:val="0"/>
        </w:rPr>
        <w:t xml:space="preserve">Печатников пер., д. 12, г. Москва, 107045, </w:t>
      </w:r>
      <w:r>
        <w:fldChar w:fldCharType="begin"/>
      </w:r>
      <w:r>
        <w:rPr>
          <w:color w:val="000000"/>
        </w:rPr>
        <w:instrText> HYPERLINK "mailto:mostender@mos.ru" </w:instrText>
      </w:r>
      <w:r>
        <w:fldChar w:fldCharType="separate"/>
      </w:r>
      <w:r>
        <w:rPr>
          <w:rStyle w:val="Hyperlink"/>
          <w:lang w:val="en-US" w:eastAsia="en-US" w:bidi="en-US"/>
          <w:w w:val="100"/>
          <w:spacing w:val="0"/>
          <w:position w:val="0"/>
        </w:rPr>
        <w:t>mostender@mos.ru</w:t>
      </w:r>
      <w:r>
        <w:fldChar w:fldCharType="end"/>
      </w:r>
    </w:p>
    <w:p>
      <w:pPr>
        <w:pStyle w:val="Style5"/>
        <w:widowControl w:val="0"/>
        <w:keepNext w:val="0"/>
        <w:keepLines w:val="0"/>
        <w:shd w:val="clear" w:color="auto" w:fill="auto"/>
        <w:bidi w:val="0"/>
        <w:jc w:val="left"/>
        <w:spacing w:before="0" w:after="222" w:line="260" w:lineRule="exact"/>
        <w:ind w:left="5320" w:right="0" w:firstLine="0"/>
      </w:pPr>
      <w:r>
        <w:rPr>
          <w:lang w:val="ru-RU" w:eastAsia="ru-RU" w:bidi="ru-RU"/>
          <w:w w:val="100"/>
          <w:spacing w:val="0"/>
          <w:color w:val="000000"/>
          <w:position w:val="0"/>
        </w:rPr>
        <w:t>ООО «Прайм энд Стандарт Кампани»</w:t>
      </w:r>
    </w:p>
    <w:p>
      <w:pPr>
        <w:pStyle w:val="Style5"/>
        <w:widowControl w:val="0"/>
        <w:keepNext w:val="0"/>
        <w:keepLines w:val="0"/>
        <w:shd w:val="clear" w:color="auto" w:fill="auto"/>
        <w:bidi w:val="0"/>
        <w:jc w:val="left"/>
        <w:spacing w:before="0" w:after="2669" w:line="278" w:lineRule="exact"/>
        <w:ind w:left="5320" w:right="360" w:firstLine="0"/>
      </w:pPr>
      <w:r>
        <w:rPr>
          <w:lang w:val="ru-RU" w:eastAsia="ru-RU" w:bidi="ru-RU"/>
          <w:w w:val="100"/>
          <w:spacing w:val="0"/>
          <w:color w:val="000000"/>
          <w:position w:val="0"/>
        </w:rPr>
        <w:t xml:space="preserve">ул. Сайкина, д. 21, г. Москва, 115432, </w:t>
      </w:r>
      <w:r>
        <w:fldChar w:fldCharType="begin"/>
      </w:r>
      <w:r>
        <w:rPr>
          <w:color w:val="000000"/>
        </w:rPr>
        <w:instrText> HYPERLINK "mailto:maxlav86@mail.ru" </w:instrText>
      </w:r>
      <w:r>
        <w:fldChar w:fldCharType="separate"/>
      </w:r>
      <w:r>
        <w:rPr>
          <w:rStyle w:val="Hyperlink"/>
          <w:lang w:val="en-US" w:eastAsia="en-US" w:bidi="en-US"/>
          <w:w w:val="100"/>
          <w:spacing w:val="0"/>
          <w:position w:val="0"/>
        </w:rPr>
        <w:t>maxlav86@mail.ru</w:t>
      </w:r>
      <w:r>
        <w:fldChar w:fldCharType="end"/>
      </w:r>
    </w:p>
    <w:p>
      <w:pPr>
        <w:pStyle w:val="Style7"/>
        <w:tabs>
          <w:tab w:leader="none" w:pos="10927" w:val="left"/>
        </w:tabs>
        <w:widowControl w:val="0"/>
        <w:keepNext w:val="0"/>
        <w:keepLines w:val="0"/>
        <w:shd w:val="clear" w:color="auto" w:fill="auto"/>
        <w:bidi w:val="0"/>
        <w:jc w:val="left"/>
        <w:spacing w:before="0" w:after="0"/>
        <w:ind w:left="2340" w:right="2340" w:firstLine="2040"/>
      </w:pPr>
      <w:r>
        <w:rPr>
          <w:lang w:val="ru-RU" w:eastAsia="ru-RU" w:bidi="ru-RU"/>
          <w:w w:val="100"/>
          <w:spacing w:val="0"/>
          <w:color w:val="000000"/>
          <w:position w:val="0"/>
        </w:rPr>
        <w:t>РЕШЕНИЕ по делу №077/06/106-2257/2021 о нарушении законодательства о контрактной системе</w:t>
      </w:r>
    </w:p>
    <w:p>
      <w:pPr>
        <w:pStyle w:val="Style7"/>
        <w:numPr>
          <w:ilvl w:val="0"/>
          <w:numId w:val="1"/>
        </w:numPr>
        <w:tabs>
          <w:tab w:leader="none" w:pos="8610" w:val="left"/>
          <w:tab w:leader="none" w:pos="861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Москва</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25"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при участии представителей: Департамента города Москвы по Конкурентной политике и ООО «Прайм энд Стандарт Кампани»,</w:t>
      </w:r>
    </w:p>
    <w:p>
      <w:pPr>
        <w:pStyle w:val="Style3"/>
        <w:framePr w:w="1349" w:h="427" w:wrap="around" w:vAnchor="text" w:hAnchor="margin" w:x="351" w:y="192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000706843557</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рассмотрев жалобу ООО «Прайм энд Стандарт Кампани» (далее — Заявитель) на действия Департамента города Москвы по Конкурентной политике (далее- Заказчик) при проведении электронного аукциона на право заключения государственного контракта на оказание услуг по дезинфекции помещений Департамента города Москвы по конкурентной политике (Закупка</w:t>
      </w:r>
      <w:r>
        <w:br w:type="page"/>
      </w:r>
    </w:p>
    <w:p>
      <w:pPr>
        <w:pStyle w:val="Style5"/>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 0173200001421000030)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0"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Заказчиков при проведении электронного аукциона.</w:t>
      </w:r>
    </w:p>
    <w:p>
      <w:pPr>
        <w:pStyle w:val="Style5"/>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09.02.2021 № ЕИ/7112/21.</w:t>
      </w:r>
    </w:p>
    <w:p>
      <w:pPr>
        <w:pStyle w:val="Style5"/>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tabs>
          <w:tab w:leader="none" w:pos="3350" w:val="left"/>
        </w:tabs>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Согласно протоколу подведения итогов электронного аукциона от 05.02.2021 №0173200001421000030-3 вторая часть заявки ООО «Прайм энд Стандарт Кампани» признана не соответствующей требованиям аукционной документации на следующем основании:</w:t>
        <w:tab/>
        <w:t>«Заявка участника признана не соответствующей</w:t>
      </w:r>
    </w:p>
    <w:p>
      <w:pPr>
        <w:pStyle w:val="Style5"/>
        <w:widowControl w:val="0"/>
        <w:keepNext w:val="0"/>
        <w:keepLines w:val="0"/>
        <w:shd w:val="clear" w:color="auto" w:fill="auto"/>
        <w:bidi w:val="0"/>
        <w:jc w:val="both"/>
        <w:spacing w:before="0" w:after="0" w:line="302" w:lineRule="exact"/>
        <w:ind w:left="0" w:right="20" w:firstLine="0"/>
      </w:pPr>
      <w:r>
        <w:rPr>
          <w:lang w:val="ru-RU" w:eastAsia="ru-RU" w:bidi="ru-RU"/>
          <w:w w:val="100"/>
          <w:spacing w:val="0"/>
          <w:color w:val="000000"/>
          <w:position w:val="0"/>
        </w:rPr>
        <w:t xml:space="preserve">требованиям, установленными п.2 ч. 6 статьи 69 Федерального Закона от 05.04.2013 г. № 44-ФЗ и аукционной документацией (п.25.1 раздела IV «Размер и порядок обеспечения заявок на участие в закупке, обеспечения исполнения контракта, гарантийных обязательств»), а именно: - требования к банковской гарантии утверждены постановлением Правительства Российской Федерации от 08.11.2013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где в частности указано, что Банковская гарантия оформляется на условиях, определенных гражданским законодательством. В условии Гарантии выданной Участнику закупки указано «ГАРАНТ отказывает БЕНЕФИЦИАРУ в удовлетворении его Требования, если это требование или приложенные к нему документы не соответствуют условиям Гарантии либо </w:t>
      </w:r>
      <w:r>
        <w:rPr>
          <w:rStyle w:val="CharStyle12"/>
        </w:rPr>
        <w:t xml:space="preserve">получены </w:t>
      </w:r>
      <w:r>
        <w:rPr>
          <w:lang w:val="ru-RU" w:eastAsia="ru-RU" w:bidi="ru-RU"/>
          <w:w w:val="100"/>
          <w:spacing w:val="0"/>
          <w:color w:val="000000"/>
          <w:position w:val="0"/>
        </w:rPr>
        <w:t>ГАРАНТОМ по окончанию срока действия Гарантии». В соответствии со ст. 165.1. Гражданского кодекса Российской Федерации, заявления, уведомления, извещения, требования или иные юридически значимые сообщения, с которыми закон или сделка связывает гражданско-правовые последствия для другого лица, влекут для Гаранта последствия с момента доставки соответствующего сообщения. Таким образом, представленная банковская гарантия не соответствует требованиям ст. 165.1 ГК РФ. Бенефициар имеет право направить требование в бумажном виде и в форме электронного документа в срок действия банковской гарантии. Срок установлен в датах от и до. При направлении Требования в Банк в бумажной форме, Бенефициар имеет право направить в организацию связи необходимые документы в целях получения платежа до двадцати четырех часов последнего дня срока согласно ст. 194 ГК РФ. Письменные заявления и извещения, сданные в организацию связи до двадцати четырех часов последнего дня срока, считаются сделанными в срок, что подтверждает отсутствие недобросовестности в реализации права на получение платежа. Согласно п. 2 ст. 374 Гражданского Кодекса Российской Федерации требование Бенефициара должно быть представлено гаранту до окончания срока действия независимой гарантии. Исходя из совокупности применения п. 2 ст. 194 и п. 2 ст. 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Согласно ч.1 ст.45 Закона о контрактной системе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соответствии с ч.6 ст.45 Закона о контрактной системе основанием для отказа в принятии банковской гарантии заказчиком является:</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отсутствие информации о банковской гарантии в предусмотренных ст.45 Закона о контрактной системе реестрах банковских гарантий;</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несоответствие банковской гарантии условиям, указанным в частях 2 и 3 ст.45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п.2 ч.1 ст.64 Закона о контрактной системе аукционная документация наряду с информацией, указанной в извещении о проведении электронного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установлено, что Заявителем в качестве обеспечения заявки представлена банковская гарантия №10110468 от 01.02.2021, выданные АКБ «Абсолют Банк» (далее — банковские гарантии).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line="307" w:lineRule="exact"/>
        <w:ind w:left="20" w:right="20" w:firstLine="560"/>
      </w:pPr>
      <w:r>
        <w:rPr>
          <w:lang w:val="ru-RU" w:eastAsia="ru-RU" w:bidi="ru-RU"/>
          <w:w w:val="100"/>
          <w:spacing w:val="0"/>
          <w:color w:val="000000"/>
          <w:position w:val="0"/>
        </w:rPr>
        <w:t>Согласно ч.8.2 ст.45 Закона о контрактной системе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заседании Комиссии Управления установлено, что в Банковских гарантиях предусмотрено следующее: п.7 «Требование платежа по Гарантии должно быть представлено Гаранту до истечения срока действия Гарантии»; п.8 «Гарант отказывает Бенефициару в удовлетворении его Требования, в случае если это требование и приложенные к нему документы не соответствуют условиям Гарантии либо получены Гарантом по окончанию срока действия Гарантии».</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Таким образом, исходя из положений п.2 ст.374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 с моментом получения гарантом такого требования.</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Кроме того, в силу п.2 ст.194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Исходя из совокупности применения п.2 ст.194 и п.2 ст.374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При этом установление в банковской гарантии положения, что требование платежа по гарантии должно быть получено Гарантом до истечения срока действия банковской гарантии, ведет к сокращению времени на подготовку Заказчиком такого требования и направления его банку-гаранту, поскольку в данном случае также необходимо учитывать сроки на получение такого требования банком.</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п. 2 ч. 6 ст. 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ч.2 и 3 ст.45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ч.6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5"/>
        </w:numPr>
        <w:tabs>
          <w:tab w:leader="none" w:pos="1072" w:val="left"/>
        </w:tabs>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5"/>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numPr>
          <w:ilvl w:val="0"/>
          <w:numId w:val="5"/>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 .</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аукционной комиссией решения в части признания заявки Заявителя не соответствующей является правомерным.</w:t>
      </w:r>
    </w:p>
    <w:p>
      <w:pPr>
        <w:pStyle w:val="Style5"/>
        <w:widowControl w:val="0"/>
        <w:keepNext w:val="0"/>
        <w:keepLines w:val="0"/>
        <w:shd w:val="clear" w:color="auto" w:fill="auto"/>
        <w:bidi w:val="0"/>
        <w:jc w:val="both"/>
        <w:spacing w:before="0" w:after="338" w:line="307"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0"/>
        <w:widowControl w:val="0"/>
        <w:keepNext/>
        <w:keepLines/>
        <w:shd w:val="clear" w:color="auto" w:fill="auto"/>
        <w:bidi w:val="0"/>
        <w:jc w:val="center"/>
        <w:spacing w:before="0" w:after="0" w:line="260" w:lineRule="exact"/>
        <w:ind w:left="20" w:right="0" w:firstLine="0"/>
      </w:pPr>
      <w:bookmarkStart w:id="1" w:name="bookmark1"/>
      <w:r>
        <w:rPr>
          <w:lang w:val="ru-RU" w:eastAsia="ru-RU" w:bidi="ru-RU"/>
          <w:w w:val="100"/>
          <w:spacing w:val="0"/>
          <w:color w:val="000000"/>
          <w:position w:val="0"/>
        </w:rPr>
        <w:t>РЕШИЛА:</w:t>
      </w:r>
      <w:bookmarkEnd w:id="1"/>
    </w:p>
    <w:p>
      <w:pPr>
        <w:pStyle w:val="Style5"/>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Признать жалобу ООО «Прайм энд Стандарт Кампани» на действия Департамента города Москвы по Конкурентной политике необоснованной.</w:t>
      </w:r>
    </w:p>
    <w:p>
      <w:pPr>
        <w:pStyle w:val="Style5"/>
        <w:numPr>
          <w:ilvl w:val="0"/>
          <w:numId w:val="7"/>
        </w:numPr>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w:t>
      </w:r>
    </w:p>
    <w:p>
      <w:pPr>
        <w:pStyle w:val="Style5"/>
        <w:numPr>
          <w:ilvl w:val="0"/>
          <w:numId w:val="9"/>
        </w:numPr>
        <w:tabs>
          <w:tab w:leader="none" w:pos="1478" w:val="left"/>
        </w:tabs>
        <w:widowControl w:val="0"/>
        <w:keepNext w:val="0"/>
        <w:keepLines w:val="0"/>
        <w:shd w:val="clear" w:color="auto" w:fill="auto"/>
        <w:bidi w:val="0"/>
        <w:jc w:val="both"/>
        <w:spacing w:before="0" w:after="300" w:line="302" w:lineRule="exact"/>
        <w:ind w:left="20" w:right="0" w:firstLine="0"/>
      </w:pPr>
      <w:r>
        <w:rPr>
          <w:lang w:val="ru-RU" w:eastAsia="ru-RU" w:bidi="ru-RU"/>
          <w:w w:val="100"/>
          <w:spacing w:val="0"/>
          <w:color w:val="000000"/>
          <w:position w:val="0"/>
        </w:rPr>
        <w:t>№ ЕИ/7112/21.</w:t>
      </w:r>
    </w:p>
    <w:p>
      <w:pPr>
        <w:pStyle w:val="Style5"/>
        <w:widowControl w:val="0"/>
        <w:keepNext w:val="0"/>
        <w:keepLines w:val="0"/>
        <w:shd w:val="clear" w:color="auto" w:fill="auto"/>
        <w:bidi w:val="0"/>
        <w:jc w:val="both"/>
        <w:spacing w:before="0" w:after="31" w:line="30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36"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Д.А. Сологов</w:t>
      </w:r>
    </w:p>
    <w:p>
      <w:pPr>
        <w:pStyle w:val="Style5"/>
        <w:tabs>
          <w:tab w:leader="none" w:pos="8852"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Н.А. Узкий</w:t>
      </w:r>
    </w:p>
    <w:p>
      <w:pPr>
        <w:pStyle w:val="Style5"/>
        <w:widowControl w:val="0"/>
        <w:keepNext w:val="0"/>
        <w:keepLines w:val="0"/>
        <w:shd w:val="clear" w:color="auto" w:fill="auto"/>
        <w:bidi w:val="0"/>
        <w:jc w:val="right"/>
        <w:spacing w:before="0" w:after="2211" w:line="638" w:lineRule="exact"/>
        <w:ind w:left="0" w:right="20" w:firstLine="0"/>
      </w:pPr>
      <w:r>
        <w:rPr>
          <w:lang w:val="ru-RU" w:eastAsia="ru-RU" w:bidi="ru-RU"/>
          <w:w w:val="100"/>
          <w:spacing w:val="0"/>
          <w:color w:val="000000"/>
          <w:position w:val="0"/>
        </w:rPr>
        <w:t>А.А. Кутейников</w:t>
      </w:r>
    </w:p>
    <w:p>
      <w:pPr>
        <w:pStyle w:val="Style14"/>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footnotePr>
        <w:pos w:val="pageBottom"/>
        <w:numFmt w:val="decimal"/>
        <w:numRestart w:val="continuous"/>
      </w:footnotePr>
      <w:type w:val="continuous"/>
      <w:pgSz w:w="11906" w:h="16838"/>
      <w:pgMar w:top="1236" w:left="848" w:right="838" w:bottom="13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9.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Полужирный"/>
    <w:basedOn w:val="CharStyle6"/>
    <w:rPr>
      <w:lang w:val="ru-RU" w:eastAsia="ru-RU" w:bidi="ru-RU"/>
      <w:b/>
      <w:bCs/>
      <w:w w:val="100"/>
      <w:spacing w:val="0"/>
      <w:color w:val="000000"/>
      <w:position w:val="0"/>
    </w:rPr>
  </w:style>
  <w:style w:type="character" w:customStyle="1" w:styleId="CharStyle13">
    <w:name w:val="Основной текст + 10 pt,Полужирный"/>
    <w:basedOn w:val="CharStyle6"/>
    <w:rPr>
      <w:lang w:val="ru-RU" w:eastAsia="ru-RU" w:bidi="ru-RU"/>
      <w:b/>
      <w:bCs/>
      <w:sz w:val="20"/>
      <w:szCs w:val="20"/>
      <w:w w:val="100"/>
      <w:spacing w:val="0"/>
      <w:color w:val="000000"/>
      <w:position w:val="0"/>
    </w:rPr>
  </w:style>
  <w:style w:type="character" w:customStyle="1" w:styleId="CharStyle15">
    <w:name w:val="Основной текст (3)_"/>
    <w:basedOn w:val="DefaultParagraphFont"/>
    <w:link w:val="Style14"/>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28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70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186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