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0"/>
        <w:ind w:left="5300" w:right="940" w:firstLine="0"/>
      </w:pPr>
      <w:r>
        <w:rPr>
          <w:lang w:val="ru-RU" w:eastAsia="ru-RU" w:bidi="ru-RU"/>
          <w:w w:val="100"/>
          <w:spacing w:val="0"/>
          <w:color w:val="000000"/>
          <w:position w:val="0"/>
        </w:rPr>
        <w:t>ФГБУК «Государственный музей изобразительных искусств имени А.С. Пу</w:t>
      </w:r>
      <w:r>
        <w:rPr>
          <w:rStyle w:val="CharStyle5"/>
        </w:rPr>
        <w:t>шк</w:t>
      </w:r>
      <w:r>
        <w:rPr>
          <w:lang w:val="ru-RU" w:eastAsia="ru-RU" w:bidi="ru-RU"/>
          <w:w w:val="100"/>
          <w:spacing w:val="0"/>
          <w:color w:val="000000"/>
          <w:position w:val="0"/>
        </w:rPr>
        <w:t>ина»</w:t>
      </w:r>
    </w:p>
    <w:p>
      <w:pPr>
        <w:pStyle w:val="Style3"/>
        <w:widowControl w:val="0"/>
        <w:keepNext w:val="0"/>
        <w:keepLines w:val="0"/>
        <w:shd w:val="clear" w:color="auto" w:fill="auto"/>
        <w:bidi w:val="0"/>
        <w:jc w:val="left"/>
        <w:spacing w:before="0" w:after="349"/>
        <w:ind w:left="5300" w:right="360" w:firstLine="0"/>
      </w:pPr>
      <w:r>
        <w:rPr>
          <w:lang w:val="ru-RU" w:eastAsia="ru-RU" w:bidi="ru-RU"/>
          <w:w w:val="100"/>
          <w:spacing w:val="0"/>
          <w:color w:val="000000"/>
          <w:position w:val="0"/>
        </w:rPr>
        <w:t xml:space="preserve">ул. Волхонка, д. 12, г. Москва, 119019, </w:t>
      </w:r>
      <w:r>
        <w:fldChar w:fldCharType="begin"/>
      </w:r>
      <w:r>
        <w:rPr>
          <w:color w:val="000000"/>
        </w:rPr>
        <w:instrText> HYPERLINK "mailto:pushkin_uks@mail.ru" </w:instrText>
      </w:r>
      <w:r>
        <w:fldChar w:fldCharType="separate"/>
      </w:r>
      <w:r>
        <w:rPr>
          <w:rStyle w:val="Hyperlink"/>
          <w:lang w:val="en-US" w:eastAsia="en-US" w:bidi="en-US"/>
          <w:w w:val="100"/>
          <w:spacing w:val="0"/>
          <w:position w:val="0"/>
        </w:rPr>
        <w:t>pushkin_uks@mail.ru</w:t>
      </w:r>
      <w:r>
        <w:fldChar w:fldCharType="end"/>
      </w:r>
    </w:p>
    <w:p>
      <w:pPr>
        <w:pStyle w:val="Style3"/>
        <w:widowControl w:val="0"/>
        <w:keepNext w:val="0"/>
        <w:keepLines w:val="0"/>
        <w:shd w:val="clear" w:color="auto" w:fill="auto"/>
        <w:bidi w:val="0"/>
        <w:jc w:val="left"/>
        <w:spacing w:before="0" w:after="308" w:line="260" w:lineRule="exact"/>
        <w:ind w:left="5300" w:right="0" w:firstLine="0"/>
      </w:pPr>
      <w:r>
        <w:rPr>
          <w:lang w:val="ru-RU" w:eastAsia="ru-RU" w:bidi="ru-RU"/>
          <w:w w:val="100"/>
          <w:spacing w:val="0"/>
          <w:color w:val="000000"/>
          <w:position w:val="0"/>
        </w:rPr>
        <w:t>ООО «76 ОКС»</w:t>
      </w:r>
    </w:p>
    <w:p>
      <w:pPr>
        <w:pStyle w:val="Style3"/>
        <w:widowControl w:val="0"/>
        <w:keepNext w:val="0"/>
        <w:keepLines w:val="0"/>
        <w:shd w:val="clear" w:color="auto" w:fill="auto"/>
        <w:bidi w:val="0"/>
        <w:jc w:val="left"/>
        <w:spacing w:before="0" w:after="1984"/>
        <w:ind w:left="5300" w:right="360" w:firstLine="0"/>
      </w:pPr>
      <w:r>
        <w:rPr>
          <w:lang w:val="ru-RU" w:eastAsia="ru-RU" w:bidi="ru-RU"/>
          <w:w w:val="100"/>
          <w:spacing w:val="0"/>
          <w:color w:val="000000"/>
          <w:position w:val="0"/>
        </w:rPr>
        <w:t xml:space="preserve">ул. Куусинена, д. 21 А, пом. X, г. Москва, 125252, </w:t>
      </w:r>
      <w:r>
        <w:fldChar w:fldCharType="begin"/>
      </w:r>
      <w:r>
        <w:rPr>
          <w:color w:val="000000"/>
        </w:rPr>
        <w:instrText> HYPERLINK "mailto:76oks@mail.ru" </w:instrText>
      </w:r>
      <w:r>
        <w:fldChar w:fldCharType="separate"/>
      </w:r>
      <w:r>
        <w:rPr>
          <w:rStyle w:val="Hyperlink"/>
          <w:lang w:val="en-US" w:eastAsia="en-US" w:bidi="en-US"/>
          <w:w w:val="100"/>
          <w:spacing w:val="0"/>
          <w:position w:val="0"/>
        </w:rPr>
        <w:t>76oks@mail.ru</w:t>
      </w:r>
      <w:r>
        <w:fldChar w:fldCharType="end"/>
      </w:r>
    </w:p>
    <w:p>
      <w:pPr>
        <w:pStyle w:val="Style6"/>
        <w:tabs>
          <w:tab w:leader="none" w:pos="10907" w:val="left"/>
        </w:tabs>
        <w:widowControl w:val="0"/>
        <w:keepNext w:val="0"/>
        <w:keepLines w:val="0"/>
        <w:shd w:val="clear" w:color="auto" w:fill="auto"/>
        <w:bidi w:val="0"/>
        <w:jc w:val="left"/>
        <w:spacing w:before="0" w:after="0"/>
        <w:ind w:left="2320" w:right="2300" w:firstLine="2040"/>
      </w:pPr>
      <w:r>
        <w:rPr>
          <w:lang w:val="ru-RU" w:eastAsia="ru-RU" w:bidi="ru-RU"/>
          <w:w w:val="100"/>
          <w:spacing w:val="0"/>
          <w:color w:val="000000"/>
          <w:position w:val="0"/>
        </w:rPr>
        <w:t>РЕШЕНИЕ по делу №077/06/106-2254/2021 о нарушении законодательства о контрактной системе</w:t>
      </w:r>
    </w:p>
    <w:p>
      <w:pPr>
        <w:pStyle w:val="Style6"/>
        <w:numPr>
          <w:ilvl w:val="0"/>
          <w:numId w:val="1"/>
        </w:numPr>
        <w:tabs>
          <w:tab w:leader="none" w:pos="8610" w:val="left"/>
          <w:tab w:leader="none" w:pos="861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Москва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625"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Н.А. Узкого,</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3"/>
        <w:tabs>
          <w:tab w:leader="none" w:pos="606"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при участии представителей ФГБУК «Государственный музей изобразительных искусств имени А.С. Пушкина», ООО «76 ОКС»,</w:t>
      </w:r>
    </w:p>
    <w:p>
      <w:pPr>
        <w:pStyle w:val="Style3"/>
        <w:widowControl w:val="0"/>
        <w:keepNext w:val="0"/>
        <w:keepLines w:val="0"/>
        <w:shd w:val="clear" w:color="auto" w:fill="auto"/>
        <w:bidi w:val="0"/>
        <w:jc w:val="both"/>
        <w:spacing w:before="0" w:after="237" w:line="317" w:lineRule="exact"/>
        <w:ind w:left="20" w:right="20" w:firstLine="700"/>
      </w:pPr>
      <w:r>
        <w:rPr>
          <w:lang w:val="ru-RU" w:eastAsia="ru-RU" w:bidi="ru-RU"/>
          <w:w w:val="100"/>
          <w:spacing w:val="0"/>
          <w:color w:val="000000"/>
          <w:position w:val="0"/>
        </w:rPr>
        <w:t>рассмотрев жалобу ООО «76 ОКС» (далее — Заявитель) на действия ФГБУК «Государственный музей изобразительных искусств имени А.С. Пушкина» (далее- Заказчик) при проведении открытого конкурса в электронной форме на право заключения государственного контракта на оказание услуг по осуществлению</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000295613283</w:t>
      </w:r>
    </w:p>
    <w:p>
      <w:pPr>
        <w:pStyle w:val="Style3"/>
        <w:tabs>
          <w:tab w:leader="none" w:pos="10210"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строительного контроля за проведением работ по объекту:</w:t>
        <w:tab/>
        <w:t>«Комплексная</w:t>
      </w:r>
    </w:p>
    <w:p>
      <w:pPr>
        <w:pStyle w:val="Style3"/>
        <w:widowControl w:val="0"/>
        <w:keepNext w:val="0"/>
        <w:keepLines w:val="0"/>
        <w:shd w:val="clear" w:color="auto" w:fill="auto"/>
        <w:bidi w:val="0"/>
        <w:jc w:val="both"/>
        <w:spacing w:before="0" w:after="304"/>
        <w:ind w:left="20" w:right="20" w:firstLine="0"/>
      </w:pPr>
      <w:r>
        <w:rPr>
          <w:lang w:val="ru-RU" w:eastAsia="ru-RU" w:bidi="ru-RU"/>
          <w:w w:val="100"/>
          <w:spacing w:val="0"/>
          <w:color w:val="000000"/>
          <w:position w:val="0"/>
        </w:rPr>
        <w:t xml:space="preserve">реконструкция, реставрация и приспособление зданий бывшей городской усадьбы </w:t>
      </w:r>
      <w:r>
        <w:rPr>
          <w:lang w:val="en-US" w:eastAsia="en-US" w:bidi="en-US"/>
          <w:w w:val="100"/>
          <w:spacing w:val="0"/>
          <w:color w:val="000000"/>
          <w:position w:val="0"/>
        </w:rPr>
        <w:t xml:space="preserve">XVIII-XIX </w:t>
      </w:r>
      <w:r>
        <w:rPr>
          <w:lang w:val="ru-RU" w:eastAsia="ru-RU" w:bidi="ru-RU"/>
          <w:w w:val="100"/>
          <w:spacing w:val="0"/>
          <w:color w:val="000000"/>
          <w:position w:val="0"/>
        </w:rPr>
        <w:t>вв. (г. Москва, ул. Волхонка, д.8, строения 7, 8, 9, 10, 11) под музейно</w:t>
        <w:softHyphen/>
        <w:t>административные здания» (Закупка № 0373100115120000027) (далее - электронный 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0"/>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конкурс.</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09.02.2021 №ЕИ/6995/21.</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доводам жалобы Заявителя Заказчиком неправомерно размещен протокол признания участника уклонившимся от заключения контракта от</w:t>
      </w:r>
    </w:p>
    <w:p>
      <w:pPr>
        <w:pStyle w:val="Style3"/>
        <w:numPr>
          <w:ilvl w:val="0"/>
          <w:numId w:val="3"/>
        </w:numPr>
        <w:tabs>
          <w:tab w:leader="none" w:pos="1431"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№ППУ1 и признания ООО «76 ОКС» уклонившимся от заключения контракта на основании предоставления обеспечения исполнения контракта в виде банковской гарантии, не соответствующей требованиям аукционной документации и положениям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протоколом подведения итогов открытого конкурса в электронной форме от 25.01.2021 №ППИ1 ООО «76 ОКС» признано победителем электронного аукциона.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ст.83.2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срок действия контракта не менее чем на один месяц.</w:t>
      </w:r>
    </w:p>
    <w:p>
      <w:pPr>
        <w:pStyle w:val="Style3"/>
        <w:numPr>
          <w:ilvl w:val="0"/>
          <w:numId w:val="5"/>
        </w:numPr>
        <w:tabs>
          <w:tab w:leader="none" w:pos="1258"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ст.45 Закона о контрактной системе установлен перечень информации, которая должна содержать банковская гарантия.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Комиссией Управления установлено, что победителем конкурса направлен подписанный проект контракта и обеспечение исполнения контракта в виде банковской гарантии от 01.02.2021 № 11944-19КЭБГ/0009, выданной КИВИ Банк (АО) (далее — Банковская гарантия).</w:t>
      </w:r>
    </w:p>
    <w:p>
      <w:pPr>
        <w:pStyle w:val="Style3"/>
        <w:tabs>
          <w:tab w:leader="none" w:pos="2918" w:val="lef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Согласно ч.8.2</w:t>
        <w:tab/>
        <w:t>ст.45 Закона о контрактной системе дополнительные</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связи с тем, что оригинал банковской гарантии на момент подписания контракта отсутствует у бенефициара, а также в связи с тем, что у принципала и гаранта нет обязанности предоставлять бенефициару оригинал банковской гарантии, возврат принципалом оригинала банковской гарантии гаранту не может быть основанием для отказа от прав бенефициара по гарантии.</w:t>
      </w:r>
    </w:p>
    <w:p>
      <w:pPr>
        <w:pStyle w:val="Style3"/>
        <w:numPr>
          <w:ilvl w:val="0"/>
          <w:numId w:val="5"/>
        </w:numPr>
        <w:tabs>
          <w:tab w:leader="none" w:pos="1380" w:val="left"/>
          <w:tab w:leader="none" w:pos="1382" w:val="lef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ст.45 Закона о контрактной системе установлено, что в случае,</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установлено, что п.11 Банковской гарантии предусмотрено следующее: «...Гарантия прекращается в дату возврата оригинала настоящей Гарантии Принципалом или Бенефициаром Гаранту. В этом случае письменный отказ Бенефициара от своих прав по Гарантии не требуется».</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Комиссия Управления отмечает, что включенное в Банковскую гарантию вышеуказанное условие не предусмотренное действующим законодательством, а именно: отказ от прав по гарантии конклюдентными действиями, что означает отказ Бенефициара от предоставленных ему прав по гарантии при возврате Гаранту оригинала гарантии Принципалом.</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связи с тем что оригинал банковской гарантии на момент подписания контракта отсутствует у Бенефициара, а также в связи с тем, что у Принципала и у Гаранта нет обязанности предоставлять Бенефициару оригинал банковской гарантии, возврат Принципалом оригинала банковской гарантии Гаранту не может быть основанием для отказа от прав Бенефициара по гарантии.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Кроме того, в соответствии с ч.1 ст. 378 Гражданского кодекса Российской Федерации, обязательство гаранта перед бенефициаром по независимой гарантии прекращается:</w:t>
      </w:r>
    </w:p>
    <w:p>
      <w:pPr>
        <w:pStyle w:val="Style3"/>
        <w:numPr>
          <w:ilvl w:val="0"/>
          <w:numId w:val="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уплатой бенефициару суммы, на которую выдана независимая гарантия;</w:t>
      </w:r>
    </w:p>
    <w:p>
      <w:pPr>
        <w:pStyle w:val="Style3"/>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окончанием определенного в независимой гарантии срока, на который она выдана;</w:t>
      </w:r>
    </w:p>
    <w:p>
      <w:pPr>
        <w:pStyle w:val="Style3"/>
        <w:numPr>
          <w:ilvl w:val="0"/>
          <w:numId w:val="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вследствие отказа бенефициара от своих прав по гарантии;</w:t>
      </w:r>
    </w:p>
    <w:p>
      <w:pPr>
        <w:pStyle w:val="Style3"/>
        <w:numPr>
          <w:ilvl w:val="0"/>
          <w:numId w:val="7"/>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по соглашению гаранта с бенефициаром о прекращении этого обязательства.</w:t>
      </w:r>
    </w:p>
    <w:p>
      <w:pPr>
        <w:pStyle w:val="Style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При этом в силу ч.2 ст.378 Гражданского кодекса Российской Федерации</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прекращение обязательства гаранта по основаниям, указанным в подпунктах 1 и 2 пункта 1 ст.378 Гражданского кодекса Российской Федерации, не зависит от того, возвращена ли ему независимая гарантия.</w:t>
      </w:r>
    </w:p>
    <w:p>
      <w:pPr>
        <w:pStyle w:val="Style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Возврат Принципалом оригинала банковской гарантии Гаранту не входит в перечень случаев прекращения обязательств гаранта перед бенефициаром.</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п. 2 ч. 6 ст. 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ч.2 и 3 ст.45 Закона о контрактной системе.</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аукционной документации, и принятие Заказчиком решения об отказе от заключения контракта по основанию, указанному в протоколе, не противоречит положениям Закона о контрактной системе.</w:t>
      </w:r>
    </w:p>
    <w:p>
      <w:pPr>
        <w:pStyle w:val="Style3"/>
        <w:widowControl w:val="0"/>
        <w:keepNext w:val="0"/>
        <w:keepLines w:val="0"/>
        <w:shd w:val="clear" w:color="auto" w:fill="auto"/>
        <w:bidi w:val="0"/>
        <w:jc w:val="both"/>
        <w:spacing w:before="0" w:after="282" w:line="312"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10"/>
        <w:widowControl w:val="0"/>
        <w:keepNext/>
        <w:keepLines/>
        <w:shd w:val="clear" w:color="auto" w:fill="auto"/>
        <w:bidi w:val="0"/>
        <w:jc w:val="center"/>
        <w:spacing w:before="0" w:after="0" w:line="260" w:lineRule="exact"/>
        <w:ind w:left="20" w:right="0" w:firstLine="0"/>
      </w:pPr>
      <w:bookmarkStart w:id="1" w:name="bookmark1"/>
      <w:r>
        <w:rPr>
          <w:lang w:val="ru-RU" w:eastAsia="ru-RU" w:bidi="ru-RU"/>
          <w:w w:val="100"/>
          <w:spacing w:val="0"/>
          <w:color w:val="000000"/>
          <w:position w:val="0"/>
        </w:rPr>
        <w:t>РЕШИЛА:</w:t>
      </w:r>
      <w:bookmarkEnd w:id="1"/>
    </w:p>
    <w:p>
      <w:pPr>
        <w:pStyle w:val="Style3"/>
        <w:numPr>
          <w:ilvl w:val="0"/>
          <w:numId w:val="9"/>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Признать жалобу ООО «76 ОКС» на действия ФГБУК «Государственный музей изобразительных искусст в имени А.С. Пушкина» необоснованной.</w:t>
      </w:r>
    </w:p>
    <w:p>
      <w:pPr>
        <w:pStyle w:val="Style3"/>
        <w:numPr>
          <w:ilvl w:val="0"/>
          <w:numId w:val="9"/>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w:t>
      </w:r>
    </w:p>
    <w:p>
      <w:pPr>
        <w:pStyle w:val="Style3"/>
        <w:numPr>
          <w:ilvl w:val="0"/>
          <w:numId w:val="11"/>
        </w:numPr>
        <w:tabs>
          <w:tab w:leader="none" w:pos="1471" w:val="left"/>
        </w:tabs>
        <w:widowControl w:val="0"/>
        <w:keepNext w:val="0"/>
        <w:keepLines w:val="0"/>
        <w:shd w:val="clear" w:color="auto" w:fill="auto"/>
        <w:bidi w:val="0"/>
        <w:jc w:val="both"/>
        <w:spacing w:before="0" w:after="232" w:line="312" w:lineRule="exact"/>
        <w:ind w:left="20" w:right="0" w:firstLine="0"/>
      </w:pPr>
      <w:r>
        <w:rPr>
          <w:lang w:val="ru-RU" w:eastAsia="ru-RU" w:bidi="ru-RU"/>
          <w:w w:val="100"/>
          <w:spacing w:val="0"/>
          <w:color w:val="000000"/>
          <w:position w:val="0"/>
        </w:rPr>
        <w:t>№ЕИ/6995/21.</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636"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Д.А. Сологов</w:t>
      </w:r>
    </w:p>
    <w:p>
      <w:pPr>
        <w:pStyle w:val="Style3"/>
        <w:tabs>
          <w:tab w:leader="none" w:pos="8852" w:val="lef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Н.А. Узкий</w:t>
      </w:r>
    </w:p>
    <w:p>
      <w:pPr>
        <w:pStyle w:val="Style3"/>
        <w:widowControl w:val="0"/>
        <w:keepNext w:val="0"/>
        <w:keepLines w:val="0"/>
        <w:shd w:val="clear" w:color="auto" w:fill="auto"/>
        <w:bidi w:val="0"/>
        <w:jc w:val="right"/>
        <w:spacing w:before="0" w:after="3171" w:line="638" w:lineRule="exact"/>
        <w:ind w:left="0" w:right="2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w w:val="100"/>
          <w:spacing w:val="0"/>
          <w:position w:val="0"/>
        </w:rPr>
        <w:t>to77-kuteynikov@fas.gov.ru</w:t>
      </w:r>
      <w:r>
        <w:fldChar w:fldCharType="end"/>
      </w:r>
    </w:p>
    <w:sectPr>
      <w:footnotePr>
        <w:pos w:val="pageBottom"/>
        <w:numFmt w:val="decimal"/>
        <w:numRestart w:val="continuous"/>
      </w:footnotePr>
      <w:type w:val="continuous"/>
      <w:pgSz w:w="11906" w:h="16838"/>
      <w:pgMar w:top="1250" w:left="853" w:right="839" w:bottom="13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5.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09.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198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282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