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125" w:after="128"/>
        <w:ind w:left="0" w:right="0" w:firstLine="0"/>
      </w:pPr>
      <w:r>
        <w:rPr>
          <w:rStyle w:val="CharStyle5"/>
          <w:b/>
          <w:bCs/>
        </w:rPr>
        <w:t>ФЕДЕРАЛЬНАЯ АНТИМОНОПОЛЬНАЯ СЛУЖБА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149"/>
        <w:ind w:left="0" w:right="0" w:firstLine="0"/>
      </w:pPr>
      <w:r>
        <w:rPr>
          <w:rStyle w:val="CharStyle8"/>
          <w:b/>
          <w:bCs/>
        </w:rPr>
        <w:t>УПРАВЛЕНИЕ по Курганской области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805"/>
        <w:ind w:left="0" w:right="0" w:firstLine="0"/>
      </w:pPr>
      <w:r>
        <w:rPr>
          <w:rStyle w:val="CharStyle11"/>
        </w:rPr>
        <w:t xml:space="preserve">ул. М. Горького, 40, г. Курган, 640020 тел. (3522) 46-39-55. факс (3522) 46-39-85 </w:t>
      </w:r>
      <w:r>
        <w:rPr>
          <w:rStyle w:val="CharStyle11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12"/>
        </w:rPr>
        <w:instrText> HYPERLINK "mailto:to45@fas.gov.ru" </w:instrText>
      </w:r>
      <w:r>
        <w:fldChar w:fldCharType="separate"/>
      </w:r>
      <w:r>
        <w:rPr>
          <w:rStyle w:val="Hyperlink"/>
        </w:rPr>
        <w:t>to45@fas.gov.ru</w:t>
      </w:r>
      <w:r>
        <w:fldChar w:fldCharType="end"/>
      </w:r>
    </w:p>
    <w:p>
      <w:pPr>
        <w:pStyle w:val="Style13"/>
        <w:tabs>
          <w:tab w:leader="none" w:pos="2138" w:val="right"/>
        </w:tabs>
        <w:widowControl w:val="0"/>
        <w:keepNext w:val="0"/>
        <w:keepLines w:val="0"/>
        <w:shd w:val="clear" w:color="auto" w:fill="auto"/>
        <w:bidi w:val="0"/>
        <w:spacing w:before="0" w:after="0" w:line="170" w:lineRule="exact"/>
        <w:ind w:left="0" w:right="0" w:firstLine="0"/>
      </w:pPr>
      <w:r>
        <w:rPr>
          <w:rStyle w:val="CharStyle15"/>
        </w:rPr>
        <w:t>На №</w:t>
        <w:tab/>
        <w:t>от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31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«ЮМед»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240"/>
        <w:ind w:left="20" w:right="2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127486, г. Москва, Коровинское шоссе, дом 10, стр. 2, офис 40 </w:t>
      </w:r>
      <w:r>
        <w:rPr>
          <w:rStyle w:val="CharStyle18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19"/>
        </w:rPr>
        <w:instrText> HYPERLINK "mailto:office@umed.ru" </w:instrText>
      </w:r>
      <w:r>
        <w:fldChar w:fldCharType="separate"/>
      </w:r>
      <w:r>
        <w:rPr>
          <w:rStyle w:val="Hyperlink"/>
        </w:rPr>
        <w:t>office@umed.ru</w:t>
      </w:r>
      <w:r>
        <w:fldChar w:fldCharType="end"/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310" w:lineRule="exact"/>
        <w:ind w:left="20" w:right="2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947" w:left="1310" w:right="1562" w:bottom="983" w:header="0" w:footer="3" w:gutter="0"/>
          <w:rtlGutter w:val="0"/>
          <w:cols w:num="2" w:space="720" w:equalWidth="0">
            <w:col w:w="3708" w:space="785"/>
            <w:col w:w="4540"/>
          </w:cols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Федеральное государственное бюджетное учреждение «Национальный медицинский исследовательский центр травматологии и ортопедии имени академика Г.А. Илизарова» </w:t>
      </w:r>
      <w:r>
        <w:rPr>
          <w:rStyle w:val="CharStyle20"/>
          <w:b/>
          <w:bCs/>
        </w:rPr>
        <w:t xml:space="preserve">Министерства здравоохранении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Российской Федерации </w:t>
      </w:r>
      <w:r>
        <w:rPr>
          <w:rStyle w:val="CharStyle21"/>
          <w:b w:val="0"/>
          <w:bCs w:val="0"/>
        </w:rPr>
        <w:t xml:space="preserve">640014, Курганская область, г. Курган, ул. М. Ульяновой, д.6 Тел: 8-3522-43-05-36 </w:t>
      </w:r>
      <w:r>
        <w:rPr>
          <w:rStyle w:val="CharStyle21"/>
          <w:lang w:val="en-US" w:eastAsia="en-US" w:bidi="en-US"/>
          <w:b w:val="0"/>
          <w:bCs w:val="0"/>
        </w:rPr>
        <w:t xml:space="preserve">e-mail: </w:t>
      </w:r>
      <w:r>
        <w:fldChar w:fldCharType="begin"/>
      </w:r>
      <w:r>
        <w:rPr>
          <w:rStyle w:val="CharStyle22"/>
        </w:rPr>
        <w:instrText> HYPERLINK "mailto:mts-rncvto@mail.ru" </w:instrText>
      </w:r>
      <w:r>
        <w:fldChar w:fldCharType="separate"/>
      </w:r>
      <w:r>
        <w:rPr>
          <w:rStyle w:val="Hyperlink"/>
          <w:b w:val="0"/>
          <w:bCs w:val="0"/>
        </w:rPr>
        <w:t>mts-rncvto@mail.ru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1" w:after="21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310" w:lineRule="exact"/>
        <w:ind w:left="45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296" w:line="310" w:lineRule="exact"/>
        <w:ind w:left="2820" w:right="4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 делу о нарушении законодательства о контрактной системе в сфере закупок № 05-02/16-2021</w:t>
      </w:r>
    </w:p>
    <w:p>
      <w:pPr>
        <w:pStyle w:val="Style16"/>
        <w:numPr>
          <w:ilvl w:val="0"/>
          <w:numId w:val="1"/>
        </w:numPr>
        <w:tabs>
          <w:tab w:leader="none" w:pos="8239" w:val="left"/>
          <w:tab w:leader="none" w:pos="1341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311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г.</w:t>
        <w:tab/>
        <w:t>г. Курган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Комиссия Курганского УФАС России по контролю в сфере закупок на территории Курганской области (далее - Комиссия) в составе: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00"/>
      </w:pPr>
      <w:r>
        <w:rPr>
          <w:rStyle w:val="CharStyle23"/>
        </w:rPr>
        <w:t xml:space="preserve">Заместитель Председателя комиссии 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- Стрижова И.М. - заместитель начальника отдела контроля закупок и антимонопольного регулирования органов власти Управления Федеральной антимонопольной службы по Курганской области;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Вохменцев А.С. - старший государственный инспектор отдела контроля закупок и антимонопольного регулирования органов власти Управления Федеральной антимонопольной службы по Курганской области,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Пигалева М.Ю. - государственный инспектор отдела контроля закупок и антимонопольного регулирования органов власти Управления Федеральной антимонопольной службы по Курганской области,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306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в присутствии представителей Заказчика - ФГБУ «Российский научный центр «восстановительная травматология и ортопедия» имени академика Г.А. Илизарова» Министерства здравоохранения Российской Федерации (далее ФГБУ «РНЦ «ВТО» им. акад. Г.А. Илизарова Минздрава России, Заказчик) - 11оздеевой Г.Г. (доверенность № 30 от 03.03.2020 г.), Фролова И.Н. (доверенность № 168 от 30.12.2020г.), Помигаловой М.А. (доверенность №16 от 09.02.2021 г.),</w:t>
      </w:r>
      <w:r>
        <w:br w:type="page"/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Анпилоговой И.А. (доверенность № 7 от 21.01.2021 г.),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" w:firstLine="7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в присутствии представителя Общества с ограниченной ответственностью «ЮМед» (далее - ООО «ЮМсд») - Кий Н.В. (доверенность б/н от 08.02.2021 г.), в присутствии представителя заинтересованного лица Общества с ограниченной ответственностью «РУСМАКС» (далее - ООО «РУСМАКС») Садовника И.Р. (доверенность № 09/21 от 12.01.2021 г.),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292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при </w:t>
      </w:r>
      <w:r>
        <w:rPr>
          <w:rStyle w:val="CharStyle18"/>
        </w:rPr>
        <w:t xml:space="preserve">участии слушателя 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- Ивановой А.В. - и.о. заместителя руководителя - начальника отдела контроля закупок и антимонопольного регулирования органов власти Управления Федеральной антимонопольной службы по Курганской области,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173" w:line="306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рассмотрев жалобу ООО «ЮМед» на действия Заказчика - ФГБУ «РИД «ВТО» им. акад. Г.А. Илизарова Минздрава России при осуществлении закупки путем проведения электронного аукциона на поставку эндопротезов суставов (извещение № 0343100000720000499) и осуществив внеплановую проверку, руководствуясь статьями 99, 106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 в сфере закупок),</w:t>
      </w:r>
    </w:p>
    <w:p>
      <w:pPr>
        <w:pStyle w:val="Style24"/>
        <w:widowControl w:val="0"/>
        <w:keepNext/>
        <w:keepLines/>
        <w:shd w:val="clear" w:color="auto" w:fill="auto"/>
        <w:bidi w:val="0"/>
        <w:jc w:val="left"/>
        <w:spacing w:before="0" w:after="276" w:line="240" w:lineRule="exact"/>
        <w:ind w:left="4020" w:right="0" w:firstLine="0"/>
      </w:pPr>
      <w:bookmarkStart w:id="0" w:name="bookmark0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УСТАНОВИЛА:</w:t>
      </w:r>
      <w:bookmarkEnd w:id="0"/>
    </w:p>
    <w:p>
      <w:pPr>
        <w:pStyle w:val="Style16"/>
        <w:numPr>
          <w:ilvl w:val="0"/>
          <w:numId w:val="3"/>
        </w:numPr>
        <w:tabs>
          <w:tab w:leader="none" w:pos="203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г. в Курганское УФАС России поступила жалоба ООО «ЮМсд» (вх. № 441) на действия Заказчика - ФГБУ «РИД «ВТО» им. акад. Г.А. Илизарова Минздрава России при осуществлении закупки путем проведения электронного аукциона на поставку эндопротезов суставов (извещение №&gt; 0343100000720000499).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20"/>
      </w:pPr>
      <w:r>
        <w:rPr>
          <w:rStyle w:val="CharStyle23"/>
        </w:rPr>
        <w:t xml:space="preserve">В жалобе заявитель указал: 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что аукционная комиссия Заказчика в нарушение пункта 1 части 4 статьи 67 Закона о контрактной системе незаконно отклонила первую часть заявки ООО «ЮМед».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Заявитель просит признать жалобу обоснованной, отменить протокол подведения итогов электронного аукциона.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Представители Заказчика с доводами, изложенными Заявителем в жалобе не согласны по основаниям, изложенным в возражениях, которые направлены Заказчиком заблаговременно, приобщены к материалам дела по рассмотрению данной жалобы.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Руководствуясь административным регламентом но рассмотрению жалоб, утвержденным приказом Федеральной антимонопольной службы России от 19.11.2014 г. № 727/14, ст. 106 Закона о контрактной системе, Комиссией Курганского УФАС России установлено, </w:t>
      </w:r>
      <w:r>
        <w:rPr>
          <w:rStyle w:val="CharStyle21"/>
          <w:b w:val="0"/>
          <w:bCs w:val="0"/>
        </w:rPr>
        <w:t>что 30.12.2020 г. в ВИС опубликовано извещение о проведении электронного аукциона на поставку эндопротезов суставов (извещение № 0343100000720000499).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Начальная (максимальная) цена контракта составляет 46 663 860 рублей 10 копеек.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324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Заказчиком является ФГБУ «РНД «ВТО» им. акад. Г.А. Илизарова Минздрава России.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На момент рассмотрения жалобы по существу контракт не заключен.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Оценивая доводы Заявителя, изложенные в жалобе, а также документы, представленные Заказчиком и приобщенные к материалам дела по рассмотрению жалобы, Комиссия Курганского УФАС России приходит к следующим выводам.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4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Согласно части 1 статьи 67 Закона о контрактной системе аукционная комиссия проверяет первые части заявок на участие в электронном аукционе, содержащие информацию, предусмотренную частью 3 статьи 66 настоящего Федерального закона, на соответствие требованиям, установленным документацией о таком аукционе в отношении закупаемых товаров, работ, услуг.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Па основании части 3 статьи 67 Закона о контрактной системе по результатам рассмотрения первых частей заявок на участие в электронном аукционе, содержащих информацию, предусмотренную частью 3 статьи 66 настоящего Федерального закона, аукционная комиссия принимает решение о допуске участника закупки, подавшего заявку на участие в таком аукционе,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основаниям, которые предусмотрены частью 4 настоящей статьи.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Согласно части 4 статьи 67 Закона о контрактной системе участник электронного аукциона не допускается к участию в нем в случае:</w:t>
      </w:r>
    </w:p>
    <w:p>
      <w:pPr>
        <w:pStyle w:val="Style16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 непредоставления информации, предусмотренной частью 3 статьи 66 настоящего Федерального закона, или предоставления недостоверной информации;</w:t>
      </w:r>
    </w:p>
    <w:p>
      <w:pPr>
        <w:pStyle w:val="Style16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 несоответствия информации, предусмотренной частью 3 статьи 66 настоящего Федерального закона, требованиям документации о таком аукционе.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Согласно протоколу рассмотрения заявок на участие в электронном аукционе от 03.02.2021 года на участие в аукционе подано 5 (пять) заявок, все поданные заявки признаны соответствующей требованиям документации об аукционе.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В соответствии с протоколом рассмотрения заявок на участие в аукционе от 03.02.2021 г. заявке на участие в аукционе, поданной ООО «ЮМед» (идентификационный номер заявки 109040371) было отказано в допуске на основании пункта 1 части 4 статьи 67 Закона о контрактной системе, в связи с представлением недостоверной информации, предусмотренной частью 3 статьи 66 Закона о контрактной системе и пункта 10 «Требования к функциональным, техническим, качественным и эксплуатационным характеристикам товара» Описания объекта закупки Приложения №2 к документации об электронном аукционе.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40" w:right="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Па рассмотрении жалобы представители Заказчика пояснили следующее.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В соответствии с пунктом 1 Описания объекта закупки к поставке требуется товар: «Компонент эндопротеза коленного сустава феморальный непокрытый» имеющий показатель в виде «Расстояние между мыщелками клона» со следующим диапазонным значением: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right"/>
        <w:spacing w:before="0" w:after="0" w:line="306" w:lineRule="exact"/>
        <w:ind w:left="1480" w:right="656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- &gt; 16 и &lt; 18 &gt; 18 </w:t>
      </w:r>
      <w:r>
        <w:rPr>
          <w:rStyle w:val="CharStyle26"/>
        </w:rPr>
        <w:t>и&lt;20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В соответствии с подпунктом б) пункта 2 части 3 статьи 66 Закона о контрактной системе первая часть заявки на участие в электронном аукционе должна содержать конкретные показатели товара, соответствующие значениям, установленным в документации об электронном аукционе, и указание па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па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179" w:line="306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Проведя анализ первой части заявки участника с идентификационным номером 109040371 (заявка Заявителя) на участие в аукционе, Комиссия Курганского УФАС России установила, что в заявке Заявителя в позиции пункта 1 Компонент эндопротеза колейного сустава феморальный непокрытый - показатель 1.10 указаны следующие характеристики товара, предлагаемого к поставке:</w:t>
      </w:r>
    </w:p>
    <w:tbl>
      <w:tblPr>
        <w:tblOverlap w:val="never"/>
        <w:tblLayout w:type="fixed"/>
        <w:jc w:val="center"/>
      </w:tblPr>
      <w:tblGrid>
        <w:gridCol w:w="842"/>
        <w:gridCol w:w="4284"/>
        <w:gridCol w:w="1865"/>
        <w:gridCol w:w="1127"/>
        <w:gridCol w:w="1307"/>
      </w:tblGrid>
      <w:tr>
        <w:trPr>
          <w:trHeight w:val="385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6"/>
              <w:framePr w:w="942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40" w:lineRule="exact"/>
              <w:ind w:left="60" w:right="0" w:firstLine="0"/>
            </w:pPr>
            <w:r>
              <w:rPr>
                <w:rStyle w:val="CharStyle27"/>
              </w:rPr>
              <w:t>1.10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6"/>
              <w:framePr w:w="942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40" w:lineRule="exact"/>
              <w:ind w:left="20" w:right="0" w:firstLine="0"/>
            </w:pPr>
            <w:r>
              <w:rPr>
                <w:rStyle w:val="CharStyle27"/>
              </w:rPr>
              <w:t>Расстояние между мыщелками клона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6"/>
              <w:framePr w:w="942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40" w:lineRule="exact"/>
              <w:ind w:left="20" w:right="0" w:firstLine="0"/>
            </w:pPr>
            <w:r>
              <w:rPr>
                <w:rStyle w:val="CharStyle27"/>
              </w:rPr>
              <w:t>Миллиметр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6"/>
              <w:framePr w:w="942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40" w:lineRule="exact"/>
              <w:ind w:left="40" w:right="0" w:firstLine="0"/>
            </w:pPr>
            <w:r>
              <w:rPr>
                <w:rStyle w:val="CharStyle27"/>
              </w:rPr>
              <w:t>16,5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framePr w:w="9425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70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framePr w:w="9425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framePr w:w="9425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16"/>
              <w:framePr w:w="942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40" w:lineRule="exact"/>
              <w:ind w:left="20" w:right="0" w:firstLine="0"/>
            </w:pPr>
            <w:r>
              <w:rPr>
                <w:rStyle w:val="CharStyle27"/>
              </w:rPr>
              <w:t>Миллиметр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16"/>
              <w:framePr w:w="942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40" w:lineRule="exact"/>
              <w:ind w:left="40" w:right="0" w:firstLine="0"/>
            </w:pPr>
            <w:r>
              <w:rPr>
                <w:rStyle w:val="CharStyle27"/>
              </w:rPr>
              <w:t>19,5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top"/>
          </w:tcPr>
          <w:p>
            <w:pPr>
              <w:framePr w:w="9425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rPr>
          <w:sz w:val="2"/>
          <w:szCs w:val="2"/>
        </w:rPr>
      </w:pP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203" w:after="0" w:line="302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Кроме того, участник с идентификационным номером 109040371 в своей заявке задекларировал данный товар, указав страну происхождения товара: Соединенные Штаты, Малайзия, Германия, Швейцария, Китай, Соединенное Королевство, Франция, а также Товарный знак: </w:t>
      </w:r>
      <w:r>
        <w:rPr>
          <w:lang w:val="en-US" w:eastAsia="en-US" w:bidi="en-US"/>
          <w:sz w:val="24"/>
          <w:szCs w:val="24"/>
          <w:w w:val="100"/>
          <w:color w:val="000000"/>
          <w:position w:val="0"/>
        </w:rPr>
        <w:t xml:space="preserve">Smith 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&amp; </w:t>
      </w:r>
      <w:r>
        <w:rPr>
          <w:lang w:val="en-US" w:eastAsia="en-US" w:bidi="en-US"/>
          <w:sz w:val="24"/>
          <w:szCs w:val="24"/>
          <w:w w:val="100"/>
          <w:color w:val="000000"/>
          <w:position w:val="0"/>
        </w:rPr>
        <w:t>Nephew.</w:t>
      </w:r>
    </w:p>
    <w:p>
      <w:pPr>
        <w:pStyle w:val="Style16"/>
        <w:numPr>
          <w:ilvl w:val="0"/>
          <w:numId w:val="7"/>
        </w:numPr>
        <w:tabs>
          <w:tab w:leader="none" w:pos="205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г. с целью проверки информации, указанной в заявке участника, Заказчик направил в адрес Производителя - ООО «Смит энд 11ефыо» запрос № 499-3 о наличии моделей бедренного компонента под товарным знаком </w:t>
      </w:r>
      <w:r>
        <w:rPr>
          <w:lang w:val="en-US" w:eastAsia="en-US" w:bidi="en-US"/>
          <w:sz w:val="24"/>
          <w:szCs w:val="24"/>
          <w:w w:val="100"/>
          <w:color w:val="000000"/>
          <w:position w:val="0"/>
        </w:rPr>
        <w:t xml:space="preserve">Smith 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&amp; </w:t>
      </w:r>
      <w:r>
        <w:rPr>
          <w:lang w:val="en-US" w:eastAsia="en-US" w:bidi="en-US"/>
          <w:sz w:val="24"/>
          <w:szCs w:val="24"/>
          <w:w w:val="100"/>
          <w:color w:val="000000"/>
          <w:position w:val="0"/>
        </w:rPr>
        <w:t xml:space="preserve">Nephew, 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соответствующих параметрам технических характеристик.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В соответствии с ответом от 02.02.2021 г. № 47-2021 СП ООО «Смит энд Нефью» сообщает, что в совокупности предоставленных характеристик бедренного компонента, в компании </w:t>
      </w:r>
      <w:r>
        <w:rPr>
          <w:lang w:val="en-US" w:eastAsia="en-US" w:bidi="en-US"/>
          <w:sz w:val="24"/>
          <w:szCs w:val="24"/>
          <w:w w:val="100"/>
          <w:color w:val="000000"/>
          <w:position w:val="0"/>
        </w:rPr>
        <w:t xml:space="preserve">Smith 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&amp; </w:t>
      </w:r>
      <w:r>
        <w:rPr>
          <w:lang w:val="en-US" w:eastAsia="en-US" w:bidi="en-US"/>
          <w:sz w:val="24"/>
          <w:szCs w:val="24"/>
          <w:w w:val="100"/>
          <w:color w:val="000000"/>
          <w:position w:val="0"/>
        </w:rPr>
        <w:t xml:space="preserve">Nephew 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соответствует система </w:t>
      </w:r>
      <w:r>
        <w:rPr>
          <w:lang w:val="en-US" w:eastAsia="en-US" w:bidi="en-US"/>
          <w:sz w:val="24"/>
          <w:szCs w:val="24"/>
          <w:w w:val="100"/>
          <w:color w:val="000000"/>
          <w:position w:val="0"/>
        </w:rPr>
        <w:t xml:space="preserve">Genesis 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II. У Бедренного компонента </w:t>
      </w:r>
      <w:r>
        <w:rPr>
          <w:lang w:val="en-US" w:eastAsia="en-US" w:bidi="en-US"/>
          <w:sz w:val="24"/>
          <w:szCs w:val="24"/>
          <w:w w:val="100"/>
          <w:color w:val="000000"/>
          <w:position w:val="0"/>
        </w:rPr>
        <w:t xml:space="preserve">Genesis 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II расстояние между мыщелками клона составляет 16,5 мм и 19,1 мм.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В ходе документального анализа первых частей заявок и требований аукционной документации Комиссией Курганского УФАС России было установлено, что в жалобе, в обоснование своего довода, заявитель ссылается на инструкцию к товару по применению Эндопротеза коленного сустава </w:t>
      </w:r>
      <w:r>
        <w:rPr>
          <w:lang w:val="en-US" w:eastAsia="en-US" w:bidi="en-US"/>
          <w:sz w:val="24"/>
          <w:szCs w:val="24"/>
          <w:w w:val="100"/>
          <w:color w:val="000000"/>
          <w:position w:val="0"/>
        </w:rPr>
        <w:t xml:space="preserve">«Genesis 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II», которая опубликована на официальном сайте производителя </w:t>
      </w:r>
      <w:r>
        <w:fldChar w:fldCharType="begin"/>
      </w:r>
      <w:r>
        <w:rPr>
          <w:rStyle w:val="CharStyle28"/>
        </w:rPr>
        <w:instrText> HYPERLINK "https://www.smith-nephew.com/about-usAvhere-" </w:instrText>
      </w:r>
      <w:r>
        <w:fldChar w:fldCharType="separate"/>
      </w:r>
      <w:r>
        <w:rPr>
          <w:rStyle w:val="Hyperlink"/>
        </w:rPr>
        <w:t>https://www.smith-nephew.com/about-usAvhere-</w:t>
      </w:r>
      <w:r>
        <w:fldChar w:fldCharType="end"/>
      </w:r>
      <w:r>
        <w:rPr>
          <w:rStyle w:val="CharStyle28"/>
        </w:rPr>
        <w:t xml:space="preserve"> weoperate/europe/russia/ifns/</w:t>
      </w:r>
      <w:r>
        <w:rPr>
          <w:lang w:val="en-US" w:eastAsia="en-US" w:bidi="en-US"/>
          <w:sz w:val="24"/>
          <w:szCs w:val="24"/>
          <w:w w:val="100"/>
          <w:color w:val="000000"/>
          <w:position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в сети Интернет.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При этом по мнению Заказчика, информация о товарах, размещенная на официальном сайте, носит информативный характер и не всегда бывает полной и объективной, в этой связи можно сделать вывод о том, что такая информация не является полностью достоверной.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40" w:right="4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Необходимо отметить, что проверка заявки на соответствие каким-либо сайтам в сети Интернет Законом о контрактной системе не предусмотрена. У хозяйствующих субъектов нет обязанности размещать информацию о производимых ими товарах на каких-либо сайгах. Кроме того, указанная информация, размещенная на сайте производителя или продавца, на момент се рассмотрения может быть уже неактуальна. Характеристики товаров, указанные в том числе и на сайтах производителей товара, могут быть изменены без предварительного уведомления потенциальных покупателей вследствие изменившейся потребности рынка в отношении данного вида товара либо производственной необходимости.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Изложенное соответствует правовому подходу, содержащемуся в определении Верховного суда Российской Федерации от 17 сентября 2018 г. № 309-КГ 18-14017, согласно которому у заказчика нет полномочий по проверке представленной участниками аукциона информации на предмет ее соответствия сведениям, представленным третьими лицами на своих сайтах в сети Интернет. Характеристики товара, указанные производителями товара на официальных сайтах, на момент рассмотрения заявки могут быть уже не актуальны, и изменены без предварительного уведомления потенциальных покупателей вследствие изменившейся потребности рынка в отношении данного товара либо производственной необходимости.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Таким образом, Комиссия Курганского УФАС России приходит к выводу о том, что в пункте 1 заявки заявителя содержатся недостоверные сведения в отношении показателя «Расстояние между мыщелками клона», а именно: 16,5; 19,5, что является основанием для отказа в допуске к участию в аукционе.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Соответственно, заявка указанного участника закупки правомерно была отклонена аукционной комиссией Заказчика на основании пункта 1 части 4 статьи 67 Закона о контрактной системе.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306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Довод жалобы признан Комиссией Курганского УФАС России необоснованным.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В ходе проведения внеплановой проверки Комиссией Курганского УФАС России в действиях Заказчика нарушений требований законодательства о контрактной системе не установлено.</w:t>
      </w:r>
    </w:p>
    <w:p>
      <w:pPr>
        <w:pStyle w:val="Style16"/>
        <w:tabs>
          <w:tab w:leader="none" w:pos="3776" w:val="center"/>
          <w:tab w:leader="none" w:pos="6782" w:val="right"/>
          <w:tab w:leader="none" w:pos="936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Исследовав</w:t>
        <w:tab/>
        <w:t>представленные</w:t>
        <w:tab/>
        <w:t>материалы,</w:t>
        <w:tab/>
        <w:t>руководствуясь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230" w:line="302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административным регламентом по рассмотрению жалоб, утвержденным приказом Федеральной антимонопольной службы России от 19.11.2014 г. № 727/14, ст.ст. 99, 106 Закона о контрактной системе, Комиссия Курганского УФАС России,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314" w:line="240" w:lineRule="exact"/>
        <w:ind w:left="43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РЕШИЛА: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472" w:line="240" w:lineRule="exact"/>
        <w:ind w:left="20" w:right="0" w:firstLine="70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Признать жалобу ООО «ЮМед» </w:t>
      </w:r>
      <w:r>
        <w:rPr>
          <w:rStyle w:val="CharStyle23"/>
        </w:rPr>
        <w:t>необоснованной.</w:t>
      </w:r>
    </w:p>
    <w:p>
      <w:pPr>
        <w:pStyle w:val="Style29"/>
        <w:widowControl w:val="0"/>
        <w:keepNext w:val="0"/>
        <w:keepLines w:val="0"/>
        <w:shd w:val="clear" w:color="auto" w:fill="auto"/>
        <w:bidi w:val="0"/>
        <w:spacing w:before="0" w:after="0"/>
        <w:ind w:left="2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может быть обжаловано в арбитражный суд в течение трех месяцев..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both"/>
        <w:spacing w:before="0" w:after="0" w:line="504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Заместитель 11редседателя комиссии Члены комиссии:</w:t>
      </w:r>
    </w:p>
    <w:sectPr>
      <w:type w:val="continuous"/>
      <w:pgSz w:w="11906" w:h="16838"/>
      <w:pgMar w:top="1582" w:left="1053" w:right="1053" w:bottom="886" w:header="0" w:footer="3" w:gutter="367"/>
      <w:rtlGutter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21"/>
      <w:numFmt w:val="decimal"/>
      <w:lvlText w:val="11.02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10"/>
        <w:color w:val="000000"/>
        <w:position w:val="0"/>
      </w:rPr>
    </w:lvl>
  </w:abstractNum>
  <w:abstractNum w:abstractNumId="2">
    <w:multiLevelType w:val="multilevel"/>
    <w:lvl w:ilvl="0">
      <w:start w:val="2021"/>
      <w:numFmt w:val="decimal"/>
      <w:lvlText w:val="08.02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1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10"/>
        <w:color w:val="000000"/>
        <w:position w:val="0"/>
      </w:rPr>
    </w:lvl>
  </w:abstractNum>
  <w:abstractNum w:abstractNumId="6">
    <w:multiLevelType w:val="multilevel"/>
    <w:lvl w:ilvl="0">
      <w:start w:val="2021"/>
      <w:numFmt w:val="decimal"/>
      <w:lvlText w:val="02.02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1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5">
    <w:name w:val="Основной текст (2)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7">
    <w:name w:val="Основной текст (3)_"/>
    <w:basedOn w:val="DefaultParagraphFont"/>
    <w:link w:val="Style6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8">
    <w:name w:val="Основной текст (3)"/>
    <w:basedOn w:val="CharStyle7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0">
    <w:name w:val="Основной текст (4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1">
    <w:name w:val="Основной текст (4)"/>
    <w:basedOn w:val="CharStyle1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2">
    <w:name w:val="Основной текст (4)"/>
    <w:basedOn w:val="CharStyle10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4">
    <w:name w:val="Основной текст (5)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17"/>
      <w:szCs w:val="17"/>
      <w:rFonts w:ascii="Tahoma" w:eastAsia="Tahoma" w:hAnsi="Tahoma" w:cs="Tahoma"/>
    </w:rPr>
  </w:style>
  <w:style w:type="character" w:customStyle="1" w:styleId="CharStyle15">
    <w:name w:val="Основной текст (5)"/>
    <w:basedOn w:val="CharStyle1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7">
    <w:name w:val="Основной текст_"/>
    <w:basedOn w:val="DefaultParagraphFont"/>
    <w:link w:val="Style16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0"/>
    </w:rPr>
  </w:style>
  <w:style w:type="character" w:customStyle="1" w:styleId="CharStyle18">
    <w:name w:val="Основной текст + Интервал 0 pt"/>
    <w:basedOn w:val="CharStyle17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9">
    <w:name w:val="Основной текст + Интервал 0 pt"/>
    <w:basedOn w:val="CharStyle17"/>
    <w:rPr>
      <w:lang w:val="en-US" w:eastAsia="en-US" w:bidi="en-US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20">
    <w:name w:val="Основной текст (3) + 10,5 pt"/>
    <w:basedOn w:val="CharStyle7"/>
    <w:rPr>
      <w:lang w:val="ru-RU" w:eastAsia="ru-RU" w:bidi="ru-RU"/>
      <w:sz w:val="21"/>
      <w:szCs w:val="21"/>
      <w:w w:val="100"/>
      <w:spacing w:val="0"/>
      <w:color w:val="000000"/>
      <w:position w:val="0"/>
    </w:rPr>
  </w:style>
  <w:style w:type="character" w:customStyle="1" w:styleId="CharStyle21">
    <w:name w:val="Основной текст (3) + Не полужирный,Интервал 0 pt"/>
    <w:basedOn w:val="CharStyle7"/>
    <w:rPr>
      <w:lang w:val="ru-RU" w:eastAsia="ru-RU" w:bidi="ru-RU"/>
      <w:b/>
      <w:bCs/>
      <w:sz w:val="24"/>
      <w:szCs w:val="24"/>
      <w:w w:val="100"/>
      <w:spacing w:val="10"/>
      <w:color w:val="000000"/>
      <w:position w:val="0"/>
    </w:rPr>
  </w:style>
  <w:style w:type="character" w:customStyle="1" w:styleId="CharStyle22">
    <w:name w:val="Основной текст (3) + Не полужирный,Интервал 0 pt"/>
    <w:basedOn w:val="CharStyle7"/>
    <w:rPr>
      <w:lang w:val="en-US" w:eastAsia="en-US" w:bidi="en-US"/>
      <w:b/>
      <w:bCs/>
      <w:u w:val="single"/>
      <w:sz w:val="24"/>
      <w:szCs w:val="24"/>
      <w:w w:val="100"/>
      <w:spacing w:val="10"/>
      <w:color w:val="000000"/>
      <w:position w:val="0"/>
    </w:rPr>
  </w:style>
  <w:style w:type="character" w:customStyle="1" w:styleId="CharStyle23">
    <w:name w:val="Основной текст + Полужирный,Интервал 0 pt"/>
    <w:basedOn w:val="CharStyle17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character" w:customStyle="1" w:styleId="CharStyle25">
    <w:name w:val="Заголовок №1_"/>
    <w:basedOn w:val="DefaultParagraphFont"/>
    <w:link w:val="Style24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6">
    <w:name w:val="Основной текст + Интервал 2 pt"/>
    <w:basedOn w:val="CharStyle17"/>
    <w:rPr>
      <w:lang w:val="ru-RU" w:eastAsia="ru-RU" w:bidi="ru-RU"/>
      <w:sz w:val="24"/>
      <w:szCs w:val="24"/>
      <w:w w:val="100"/>
      <w:spacing w:val="50"/>
      <w:color w:val="000000"/>
      <w:position w:val="0"/>
    </w:rPr>
  </w:style>
  <w:style w:type="character" w:customStyle="1" w:styleId="CharStyle27">
    <w:name w:val="Основной текст"/>
    <w:basedOn w:val="CharStyle17"/>
    <w:rPr>
      <w:lang w:val="ru-RU" w:eastAsia="ru-RU" w:bidi="ru-RU"/>
      <w:sz w:val="24"/>
      <w:szCs w:val="24"/>
      <w:w w:val="100"/>
      <w:color w:val="000000"/>
      <w:position w:val="0"/>
    </w:rPr>
  </w:style>
  <w:style w:type="character" w:customStyle="1" w:styleId="CharStyle28">
    <w:name w:val="Основной текст"/>
    <w:basedOn w:val="CharStyle17"/>
    <w:rPr>
      <w:lang w:val="en-US" w:eastAsia="en-US" w:bidi="en-US"/>
      <w:u w:val="single"/>
      <w:sz w:val="24"/>
      <w:szCs w:val="24"/>
      <w:w w:val="100"/>
      <w:color w:val="000000"/>
      <w:position w:val="0"/>
    </w:rPr>
  </w:style>
  <w:style w:type="character" w:customStyle="1" w:styleId="CharStyle30">
    <w:name w:val="Основной текст (6)_"/>
    <w:basedOn w:val="DefaultParagraphFont"/>
    <w:link w:val="Style29"/>
    <w:rPr>
      <w:b w:val="0"/>
      <w:bCs w:val="0"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180" w:after="180" w:line="248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6">
    <w:name w:val="Основной текст (3)"/>
    <w:basedOn w:val="Normal"/>
    <w:link w:val="CharStyle7"/>
    <w:pPr>
      <w:widowControl w:val="0"/>
      <w:shd w:val="clear" w:color="auto" w:fill="FFFFFF"/>
      <w:jc w:val="center"/>
      <w:spacing w:before="180" w:after="60" w:line="313" w:lineRule="exact"/>
      <w:ind w:hanging="1720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9">
    <w:name w:val="Основной текст (4)"/>
    <w:basedOn w:val="Normal"/>
    <w:link w:val="CharStyle10"/>
    <w:pPr>
      <w:widowControl w:val="0"/>
      <w:shd w:val="clear" w:color="auto" w:fill="FFFFFF"/>
      <w:jc w:val="center"/>
      <w:spacing w:before="60" w:after="780" w:line="202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13">
    <w:name w:val="Основной текст (5)"/>
    <w:basedOn w:val="Normal"/>
    <w:link w:val="CharStyle14"/>
    <w:pPr>
      <w:widowControl w:val="0"/>
      <w:shd w:val="clear" w:color="auto" w:fill="FFFFFF"/>
      <w:jc w:val="both"/>
      <w:spacing w:before="780" w:line="0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ahoma" w:eastAsia="Tahoma" w:hAnsi="Tahoma" w:cs="Tahoma"/>
    </w:rPr>
  </w:style>
  <w:style w:type="paragraph" w:customStyle="1" w:styleId="Style16">
    <w:name w:val="Основной текст"/>
    <w:basedOn w:val="Normal"/>
    <w:link w:val="CharStyle17"/>
    <w:pPr>
      <w:widowControl w:val="0"/>
      <w:shd w:val="clear" w:color="auto" w:fill="FFFFFF"/>
      <w:spacing w:after="240" w:line="31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0"/>
    </w:rPr>
  </w:style>
  <w:style w:type="paragraph" w:customStyle="1" w:styleId="Style24">
    <w:name w:val="Заголовок №1"/>
    <w:basedOn w:val="Normal"/>
    <w:link w:val="CharStyle25"/>
    <w:pPr>
      <w:widowControl w:val="0"/>
      <w:shd w:val="clear" w:color="auto" w:fill="FFFFFF"/>
      <w:outlineLvl w:val="0"/>
      <w:spacing w:before="120" w:after="36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9">
    <w:name w:val="Основной текст (6)"/>
    <w:basedOn w:val="Normal"/>
    <w:link w:val="CharStyle30"/>
    <w:pPr>
      <w:widowControl w:val="0"/>
      <w:shd w:val="clear" w:color="auto" w:fill="FFFFFF"/>
      <w:jc w:val="both"/>
      <w:spacing w:before="540" w:after="180" w:line="277" w:lineRule="exact"/>
      <w:ind w:firstLine="700"/>
    </w:pPr>
    <w:rPr>
      <w:b w:val="0"/>
      <w:bCs w:val="0"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