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328" w:h="828" w:wrap="around" w:vAnchor="text" w:hAnchor="margin" w:x="4545" w:y="1"/>
        <w:widowControl w:val="0"/>
        <w:keepNext w:val="0"/>
        <w:keepLines w:val="0"/>
        <w:shd w:val="clear" w:color="auto" w:fill="auto"/>
        <w:bidi w:val="0"/>
        <w:spacing w:before="0" w:after="0" w:line="240" w:lineRule="exact"/>
        <w:ind w:left="100" w:right="0" w:firstLine="0"/>
      </w:pPr>
      <w:r>
        <w:rPr>
          <w:lang w:val="ru-RU" w:eastAsia="ru-RU" w:bidi="ru-RU"/>
          <w:sz w:val="24"/>
          <w:szCs w:val="24"/>
          <w:w w:val="100"/>
          <w:spacing w:val="0"/>
          <w:color w:val="000000"/>
          <w:position w:val="0"/>
        </w:rPr>
        <w:t>ООО «ТехСтройПартнер»</w:t>
      </w:r>
    </w:p>
    <w:p>
      <w:pPr>
        <w:pStyle w:val="Style5"/>
        <w:framePr w:w="4328" w:h="828" w:wrap="around" w:vAnchor="text" w:hAnchor="margin" w:x="4545" w:y="1"/>
        <w:widowControl w:val="0"/>
        <w:keepNext w:val="0"/>
        <w:keepLines w:val="0"/>
        <w:shd w:val="clear" w:color="auto" w:fill="auto"/>
        <w:bidi w:val="0"/>
        <w:jc w:val="both"/>
        <w:spacing w:before="0" w:after="0" w:line="274" w:lineRule="exact"/>
        <w:ind w:left="100" w:right="100" w:firstLine="0"/>
      </w:pPr>
      <w:r>
        <w:rPr>
          <w:rStyle w:val="CharStyle6"/>
          <w:spacing w:val="0"/>
        </w:rPr>
        <w:t>656016, Алтайский край, город Барнаул, Власихинская улица, дом 49/1, офис 141</w:t>
      </w:r>
    </w:p>
    <w:p>
      <w:pPr>
        <w:pStyle w:val="Style7"/>
        <w:widowControl w:val="0"/>
        <w:keepNext w:val="0"/>
        <w:keepLines w:val="0"/>
        <w:shd w:val="clear" w:color="auto" w:fill="auto"/>
        <w:bidi w:val="0"/>
        <w:jc w:val="left"/>
        <w:spacing w:before="124" w:after="147"/>
        <w:ind w:left="20" w:right="20" w:firstLine="0"/>
      </w:pPr>
      <w:r>
        <w:rPr>
          <w:lang w:val="ru-RU" w:eastAsia="ru-RU" w:bidi="ru-RU"/>
          <w:sz w:val="24"/>
          <w:szCs w:val="24"/>
          <w:w w:val="100"/>
          <w:spacing w:val="0"/>
          <w:color w:val="000000"/>
          <w:position w:val="0"/>
        </w:rPr>
        <w:t>ФЕДЕРАЛЬНАЯ АНТИМОНОПОЛЬНАЯ СЛУЖБА</w:t>
      </w:r>
    </w:p>
    <w:p>
      <w:pPr>
        <w:pStyle w:val="Style7"/>
        <w:widowControl w:val="0"/>
        <w:keepNext w:val="0"/>
        <w:keepLines w:val="0"/>
        <w:shd w:val="clear" w:color="auto" w:fill="auto"/>
        <w:bidi w:val="0"/>
        <w:jc w:val="both"/>
        <w:spacing w:before="0" w:after="58" w:line="240" w:lineRule="exact"/>
        <w:ind w:left="20" w:right="0" w:firstLine="0"/>
      </w:pPr>
      <w:r>
        <w:rPr>
          <w:lang w:val="ru-RU" w:eastAsia="ru-RU" w:bidi="ru-RU"/>
          <w:sz w:val="24"/>
          <w:szCs w:val="24"/>
          <w:w w:val="100"/>
          <w:spacing w:val="0"/>
          <w:color w:val="000000"/>
          <w:position w:val="0"/>
        </w:rPr>
        <w:t>УПРАВЛЕНИЕ</w:t>
      </w:r>
    </w:p>
    <w:p>
      <w:pPr>
        <w:pStyle w:val="Style7"/>
        <w:widowControl w:val="0"/>
        <w:keepNext w:val="0"/>
        <w:keepLines w:val="0"/>
        <w:shd w:val="clear" w:color="auto" w:fill="auto"/>
        <w:bidi w:val="0"/>
        <w:jc w:val="center"/>
        <w:spacing w:before="0" w:after="92" w:line="240" w:lineRule="exact"/>
        <w:ind w:left="440" w:right="0" w:firstLine="0"/>
      </w:pPr>
      <w:r>
        <w:rPr>
          <w:lang w:val="ru-RU" w:eastAsia="ru-RU" w:bidi="ru-RU"/>
          <w:sz w:val="24"/>
          <w:szCs w:val="24"/>
          <w:w w:val="100"/>
          <w:spacing w:val="0"/>
          <w:color w:val="000000"/>
          <w:position w:val="0"/>
        </w:rPr>
        <w:t>по Тюменской области</w:t>
      </w:r>
    </w:p>
    <w:p>
      <w:pPr>
        <w:pStyle w:val="Style9"/>
        <w:widowControl w:val="0"/>
        <w:keepNext w:val="0"/>
        <w:keepLines w:val="0"/>
        <w:shd w:val="clear" w:color="auto" w:fill="auto"/>
        <w:bidi w:val="0"/>
        <w:spacing w:before="0" w:after="0"/>
        <w:ind w:left="440" w:right="0" w:firstLine="0"/>
      </w:pPr>
      <w:r>
        <w:rPr>
          <w:lang w:val="ru-RU" w:eastAsia="ru-RU" w:bidi="ru-RU"/>
          <w:w w:val="100"/>
          <w:spacing w:val="0"/>
          <w:color w:val="000000"/>
          <w:position w:val="0"/>
        </w:rPr>
        <w:t xml:space="preserve">625048, г Тюмень, ул. Холодильная, 58а тел. (3452) 50-31-55, факс (3452) 50-59-14 </w:t>
      </w:r>
      <w:r>
        <w:rPr>
          <w:lang w:val="en-US" w:eastAsia="en-US" w:bidi="en-US"/>
          <w:w w:val="100"/>
          <w:spacing w:val="0"/>
          <w:color w:val="000000"/>
          <w:position w:val="0"/>
        </w:rPr>
        <w:t xml:space="preserve">e-mail: </w:t>
      </w:r>
      <w:r>
        <w:fldChar w:fldCharType="begin"/>
      </w:r>
      <w:r>
        <w:rPr>
          <w:color w:val="000000"/>
        </w:rPr>
        <w:instrText> HYPERLINK "mailto:to72@fas.gov.ru" </w:instrText>
      </w:r>
      <w:r>
        <w:fldChar w:fldCharType="separate"/>
      </w:r>
      <w:r>
        <w:rPr>
          <w:rStyle w:val="Hyperlink"/>
          <w:lang w:val="en-US" w:eastAsia="en-US" w:bidi="en-US"/>
          <w:w w:val="100"/>
          <w:spacing w:val="0"/>
          <w:position w:val="0"/>
        </w:rPr>
        <w:t>to72@fas.gov.ru</w:t>
      </w:r>
      <w:r>
        <w:fldChar w:fldCharType="end"/>
      </w:r>
    </w:p>
    <w:p>
      <w:pPr>
        <w:pStyle w:val="Style5"/>
        <w:widowControl w:val="0"/>
        <w:keepNext w:val="0"/>
        <w:keepLines w:val="0"/>
        <w:shd w:val="clear" w:color="auto" w:fill="auto"/>
        <w:bidi w:val="0"/>
        <w:spacing w:before="0" w:after="0"/>
        <w:ind w:left="440" w:right="0" w:firstLine="0"/>
      </w:pPr>
      <w:r>
        <w:rPr>
          <w:lang w:val="ru-RU" w:eastAsia="ru-RU" w:bidi="ru-RU"/>
          <w:w w:val="100"/>
          <w:spacing w:val="0"/>
          <w:color w:val="000000"/>
          <w:position w:val="0"/>
        </w:rPr>
        <w:t>15.02.2021 г. №ИВ/</w:t>
      </w:r>
    </w:p>
    <w:p>
      <w:pPr>
        <w:pStyle w:val="Style5"/>
        <w:tabs>
          <w:tab w:leader="underscore" w:pos="2017" w:val="right"/>
          <w:tab w:leader="underscore" w:pos="383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На №</w:t>
        <w:tab/>
        <w:t>от</w:t>
        <w:tab/>
      </w:r>
    </w:p>
    <w:p>
      <w:pPr>
        <w:pStyle w:val="Style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 возврате жалобы</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Управление Федеральной антимонопольной службы по Тюменской области (далее -_ Тюменское УФАС России) 11.02.2021 г. поступила жалоба Общества с ограниченной ответственностью «ТехСтройПартнер» (далее также Общество) на действия заказчика — администрации Омутинского муниципального района Тюменской области при проведении электронного аукциона на выполнение работ по ремонту автомобильной дороги (0167300024121000007).</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соответствии с пунктом 1 статьи 105 Федерального закона от 05.04.2013 г. № 44- 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участник закупки имеет право обжаловать в установленном порядке действия (бездействия) заказчика, уполномоченного органа, аукционной комиссии, если такие действия нарушают права и законные интересы участника закупки.</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Требования к содержанию жалобы определены в части 8 статьи 105 Закона о контрактной системе, в частности, жалоба должна содержать: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 (пп. 2 п. 8 ст. 105 Закона о контрактной системе).</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пункту 1 части 11 статьи 105 Закона о контрактной системе жалоба на действия (бездействие) заказчика, уполномоченного органа, аукционной комиссии возвращается участнику закупки в случае, если жалоба не соответствует требованиям, установленным настоящей статьей.</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силу части 2 статьи 54 Гражданского кодекса Российской Федерации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Согласно части 3 статьи 54 Закона о контрактной системе в едином государственном реестре юридических лиц должен быть указан адрес юридического лица в пределах места нахождения юридического лица.</w:t>
      </w:r>
      <w:r>
        <w:br w:type="page"/>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 xml:space="preserve">Согласно выписке из единого государственного реестра юридических лиц </w:t>
      </w:r>
      <w:r>
        <w:rPr>
          <w:lang w:val="en-US" w:eastAsia="en-US" w:bidi="en-US"/>
          <w:w w:val="100"/>
          <w:spacing w:val="0"/>
          <w:color w:val="000000"/>
          <w:position w:val="0"/>
        </w:rPr>
        <w:t>(</w:t>
      </w:r>
      <w:r>
        <w:fldChar w:fldCharType="begin"/>
      </w:r>
      <w:r>
        <w:rPr>
          <w:color w:val="000000"/>
        </w:rPr>
        <w:instrText> HYPERLINK "https://egrul.nalog.ru/" </w:instrText>
      </w:r>
      <w:r>
        <w:fldChar w:fldCharType="separate"/>
      </w:r>
      <w:r>
        <w:rPr>
          <w:rStyle w:val="Hyperlink"/>
          <w:lang w:val="en-US" w:eastAsia="en-US" w:bidi="en-US"/>
          <w:w w:val="100"/>
          <w:spacing w:val="0"/>
          <w:position w:val="0"/>
        </w:rPr>
        <w:t>https://egrul.nalog.ru/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по состоянию на 15.02.2021 г. в отношении ООО «ТехСтройПартнер» (ИНН 2221208025, адрес: 656016, Алтайский край, город Барнаул, Власихинская улица, дом 49/1, офис 141) внесены сведения о недостоверности указанного адреса места нахождения.</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Следовательно, в жалобе, поданной обществом, представлена недостоверная информация о месте нахождения юридического лица, подавшего жалобу.</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Таким образом, жалоба общества не содержит сведений о месте нахождения заявителя — ООО «ТехСтройПартнер».</w:t>
      </w:r>
    </w:p>
    <w:p>
      <w:pPr>
        <w:pStyle w:val="Style5"/>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С учетом изложенного, руководствуясь пунктом 1 части 11 статьи 105 Закона о контрактной системе, Тюменским УФАС России принято решение о возвращении жалобы заявителю без рассмотрения по существу.</w:t>
      </w:r>
    </w:p>
    <w:p>
      <w:pPr>
        <w:pStyle w:val="Style5"/>
        <w:widowControl w:val="0"/>
        <w:keepNext w:val="0"/>
        <w:keepLines w:val="0"/>
        <w:shd w:val="clear" w:color="auto" w:fill="auto"/>
        <w:bidi w:val="0"/>
        <w:jc w:val="left"/>
        <w:spacing w:before="0" w:after="0" w:line="274" w:lineRule="exact"/>
        <w:ind w:left="20" w:right="20" w:firstLine="580"/>
        <w:sectPr>
          <w:footnotePr>
            <w:pos w:val="pageBottom"/>
            <w:numFmt w:val="decimal"/>
            <w:numRestart w:val="continuous"/>
          </w:footnotePr>
          <w:type w:val="continuous"/>
          <w:pgSz w:w="11906" w:h="16838"/>
          <w:pgMar w:top="943" w:left="1270" w:right="1270" w:bottom="943" w:header="0" w:footer="3" w:gutter="0"/>
          <w:rtlGutter w:val="0"/>
          <w:cols w:space="720"/>
          <w:noEndnote/>
          <w:docGrid w:linePitch="360"/>
        </w:sectPr>
      </w:pPr>
      <w:r>
        <w:rPr>
          <w:lang w:val="ru-RU" w:eastAsia="ru-RU" w:bidi="ru-RU"/>
          <w:w w:val="100"/>
          <w:spacing w:val="0"/>
          <w:color w:val="000000"/>
          <w:position w:val="0"/>
        </w:rPr>
        <w:t>На основании пункта 14 статьи 105 Закона о контрактной системе решение о возвращении жалобы может быть обжаловано в судебном порядке.</w:t>
      </w:r>
    </w:p>
    <w:p>
      <w:pPr>
        <w:widowControl w:val="0"/>
        <w:spacing w:line="240" w:lineRule="exact"/>
        <w:rPr>
          <w:sz w:val="19"/>
          <w:szCs w:val="19"/>
        </w:rPr>
      </w:pPr>
    </w:p>
    <w:p>
      <w:pPr>
        <w:widowControl w:val="0"/>
        <w:spacing w:before="69" w:after="6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33" w:wrap="around" w:vAnchor="text" w:hAnchor="margin" w:x="6983" w:y="-2"/>
        <w:widowControl w:val="0"/>
        <w:keepNext w:val="0"/>
        <w:keepLines w:val="0"/>
        <w:shd w:val="clear" w:color="auto" w:fill="auto"/>
        <w:bidi w:val="0"/>
        <w:jc w:val="left"/>
        <w:spacing w:before="0" w:after="0" w:line="220" w:lineRule="exact"/>
        <w:ind w:left="100" w:right="0" w:firstLine="0"/>
      </w:pPr>
      <w:r>
        <w:rPr>
          <w:rStyle w:val="CharStyle13"/>
          <w:b/>
          <w:bCs/>
          <w:spacing w:val="0"/>
        </w:rPr>
        <w:t>И.В. Веретенников</w:t>
      </w:r>
    </w:p>
    <w:p>
      <w:pPr>
        <w:pStyle w:val="Style12"/>
        <w:widowControl w:val="0"/>
        <w:keepNext w:val="0"/>
        <w:keepLines w:val="0"/>
        <w:shd w:val="clear" w:color="auto" w:fill="auto"/>
        <w:bidi w:val="0"/>
        <w:jc w:val="left"/>
        <w:spacing w:before="0" w:after="0" w:line="240" w:lineRule="exact"/>
        <w:ind w:left="0" w:right="0" w:firstLine="0"/>
        <w:sectPr>
          <w:type w:val="continuous"/>
          <w:pgSz w:w="11906" w:h="16838"/>
          <w:pgMar w:top="568" w:left="1275" w:right="7409" w:bottom="568" w:header="0" w:footer="3" w:gutter="0"/>
          <w:rtlGutter w:val="0"/>
          <w:cols w:space="720"/>
          <w:noEndnote/>
          <w:docGrid w:linePitch="360"/>
        </w:sectPr>
      </w:pPr>
      <w:r>
        <w:rPr>
          <w:lang w:val="ru-RU" w:eastAsia="ru-RU" w:bidi="ru-RU"/>
          <w:sz w:val="24"/>
          <w:szCs w:val="24"/>
          <w:w w:val="100"/>
          <w:spacing w:val="0"/>
          <w:color w:val="000000"/>
          <w:position w:val="0"/>
        </w:rPr>
        <w:t>Руководитель управления</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 w:after="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170" w:lineRule="exact"/>
        <w:ind w:left="0" w:right="0" w:firstLine="0"/>
      </w:pPr>
      <w:r>
        <w:rPr>
          <w:lang w:val="ru-RU" w:eastAsia="ru-RU" w:bidi="ru-RU"/>
          <w:w w:val="100"/>
          <w:spacing w:val="0"/>
          <w:color w:val="000000"/>
          <w:position w:val="0"/>
        </w:rPr>
        <w:t>Бороздин Е.Н., тел. 8(3452) 505-392</w:t>
      </w:r>
    </w:p>
    <w:sectPr>
      <w:type w:val="continuous"/>
      <w:pgSz w:w="11906" w:h="16838"/>
      <w:pgMar w:top="568" w:left="1947" w:right="6963" w:bottom="5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8">
    <w:name w:val="Основной текст (2)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5) Exact"/>
    <w:basedOn w:val="DefaultParagraphFont"/>
    <w:rPr>
      <w:b/>
      <w:bCs/>
      <w:i w:val="0"/>
      <w:iCs w:val="0"/>
      <w:u w:val="none"/>
      <w:strike w:val="0"/>
      <w:smallCaps w:val="0"/>
      <w:sz w:val="22"/>
      <w:szCs w:val="22"/>
      <w:rFonts w:ascii="Times New Roman" w:eastAsia="Times New Roman" w:hAnsi="Times New Roman" w:cs="Times New Roman"/>
      <w:spacing w:val="-2"/>
    </w:rPr>
  </w:style>
  <w:style w:type="character" w:customStyle="1" w:styleId="CharStyle14">
    <w:name w:val="Основной текст (5)_"/>
    <w:basedOn w:val="DefaultParagraphFont"/>
    <w:link w:val="Style12"/>
    <w:rPr>
      <w:b/>
      <w:bCs/>
      <w:i w:val="0"/>
      <w:iCs w:val="0"/>
      <w:u w:val="none"/>
      <w:strike w:val="0"/>
      <w:smallCaps w:val="0"/>
      <w:rFonts w:ascii="Times New Roman" w:eastAsia="Times New Roman" w:hAnsi="Times New Roman" w:cs="Times New Roman"/>
    </w:rPr>
  </w:style>
  <w:style w:type="paragraph" w:customStyle="1" w:styleId="Style3">
    <w:name w:val="Основной текст (4)"/>
    <w:basedOn w:val="Normal"/>
    <w:link w:val="CharStyle4"/>
    <w:pPr>
      <w:widowControl w:val="0"/>
      <w:shd w:val="clear" w:color="auto" w:fill="FFFFFF"/>
      <w:jc w:val="both"/>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w:basedOn w:val="Normal"/>
    <w:link w:val="CharStyle11"/>
    <w:pPr>
      <w:widowControl w:val="0"/>
      <w:shd w:val="clear" w:color="auto" w:fill="FFFFFF"/>
      <w:jc w:val="center"/>
      <w:spacing w:before="180" w:line="518"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80" w:after="120" w:line="274"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before="180" w:after="180"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Основной текст (5)"/>
    <w:basedOn w:val="Normal"/>
    <w:link w:val="CharStyle14"/>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УПРАВЛЕНИЕ ФЕДЕРАЛЬНОЙАНТИМОНОПОЛЬНОЙ СЛУЖБЫ</dc:title>
  <dc:subject/>
  <dc:creator>Александр Гунбин</dc:creator>
  <cp:keywords/>
</cp:coreProperties>
</file>