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20" w:right="920" w:firstLine="0"/>
      </w:pPr>
      <w:r>
        <w:rPr>
          <w:lang w:val="ru-RU" w:eastAsia="ru-RU" w:bidi="ru-RU"/>
          <w:w w:val="100"/>
          <w:spacing w:val="0"/>
          <w:color w:val="000000"/>
          <w:position w:val="0"/>
        </w:rPr>
        <w:t>ГБУК г. Москвы «Московский государственный объединенный художественный историко</w:t>
        <w:softHyphen/>
        <w:t>архитектурный</w:t>
      </w:r>
    </w:p>
    <w:p>
      <w:pPr>
        <w:pStyle w:val="Style5"/>
        <w:widowControl w:val="0"/>
        <w:keepNext w:val="0"/>
        <w:keepLines w:val="0"/>
        <w:shd w:val="clear" w:color="auto" w:fill="auto"/>
        <w:bidi w:val="0"/>
        <w:jc w:val="left"/>
        <w:spacing w:before="0" w:after="349"/>
        <w:ind w:left="5320" w:right="920" w:firstLine="0"/>
      </w:pPr>
      <w:r>
        <w:rPr>
          <w:lang w:val="ru-RU" w:eastAsia="ru-RU" w:bidi="ru-RU"/>
          <w:w w:val="100"/>
          <w:spacing w:val="0"/>
          <w:color w:val="000000"/>
          <w:position w:val="0"/>
        </w:rPr>
        <w:t>и природно-ландшафтный музей- заповедник»</w:t>
      </w:r>
    </w:p>
    <w:p>
      <w:pPr>
        <w:pStyle w:val="Style5"/>
        <w:widowControl w:val="0"/>
        <w:keepNext w:val="0"/>
        <w:keepLines w:val="0"/>
        <w:shd w:val="clear" w:color="auto" w:fill="auto"/>
        <w:bidi w:val="0"/>
        <w:jc w:val="left"/>
        <w:spacing w:before="0" w:after="2" w:line="260" w:lineRule="exact"/>
        <w:ind w:left="5320" w:right="0" w:firstLine="0"/>
      </w:pPr>
      <w:r>
        <w:rPr>
          <w:lang w:val="ru-RU" w:eastAsia="ru-RU" w:bidi="ru-RU"/>
          <w:w w:val="100"/>
          <w:spacing w:val="0"/>
          <w:color w:val="000000"/>
          <w:position w:val="0"/>
        </w:rPr>
        <w:t>пр-т Андропова, д. 39, г. Москва,</w:t>
      </w:r>
    </w:p>
    <w:p>
      <w:pPr>
        <w:pStyle w:val="Style5"/>
        <w:widowControl w:val="0"/>
        <w:keepNext w:val="0"/>
        <w:keepLines w:val="0"/>
        <w:shd w:val="clear" w:color="auto" w:fill="auto"/>
        <w:bidi w:val="0"/>
        <w:jc w:val="left"/>
        <w:spacing w:before="0" w:after="298" w:line="260" w:lineRule="exact"/>
        <w:ind w:left="5320" w:right="0" w:firstLine="0"/>
      </w:pPr>
      <w:r>
        <w:rPr>
          <w:lang w:val="ru-RU" w:eastAsia="ru-RU" w:bidi="ru-RU"/>
          <w:w w:val="100"/>
          <w:spacing w:val="0"/>
          <w:color w:val="000000"/>
          <w:position w:val="0"/>
        </w:rPr>
        <w:t xml:space="preserve">115487, </w:t>
      </w:r>
      <w:r>
        <w:fldChar w:fldCharType="begin"/>
      </w:r>
      <w:r>
        <w:rPr>
          <w:color w:val="000000"/>
        </w:rPr>
        <w:instrText> HYPERLINK "mailto:tender.mgomz@mail.ru" </w:instrText>
      </w:r>
      <w:r>
        <w:fldChar w:fldCharType="separate"/>
      </w:r>
      <w:r>
        <w:rPr>
          <w:rStyle w:val="Hyperlink"/>
          <w:lang w:val="en-US" w:eastAsia="en-US" w:bidi="en-US"/>
          <w:w w:val="100"/>
          <w:spacing w:val="0"/>
          <w:position w:val="0"/>
        </w:rPr>
        <w:t>tender.mgomz@mail.ru</w:t>
      </w:r>
      <w:r>
        <w:fldChar w:fldCharType="end"/>
      </w:r>
    </w:p>
    <w:p>
      <w:pPr>
        <w:pStyle w:val="Style5"/>
        <w:widowControl w:val="0"/>
        <w:keepNext w:val="0"/>
        <w:keepLines w:val="0"/>
        <w:shd w:val="clear" w:color="auto" w:fill="auto"/>
        <w:bidi w:val="0"/>
        <w:jc w:val="left"/>
        <w:spacing w:before="0" w:after="300"/>
        <w:ind w:left="5320" w:right="40" w:firstLine="0"/>
      </w:pPr>
      <w:r>
        <w:rPr>
          <w:lang w:val="ru-RU" w:eastAsia="ru-RU" w:bidi="ru-RU"/>
          <w:w w:val="100"/>
          <w:spacing w:val="0"/>
          <w:color w:val="000000"/>
          <w:position w:val="0"/>
        </w:rPr>
        <w:t>ГКУ «Технический центр Департамента культуры города Москвы»</w:t>
      </w:r>
    </w:p>
    <w:p>
      <w:pPr>
        <w:pStyle w:val="Style5"/>
        <w:widowControl w:val="0"/>
        <w:keepNext w:val="0"/>
        <w:keepLines w:val="0"/>
        <w:shd w:val="clear" w:color="auto" w:fill="auto"/>
        <w:bidi w:val="0"/>
        <w:jc w:val="left"/>
        <w:spacing w:before="0" w:after="349"/>
        <w:ind w:left="5320" w:right="40" w:firstLine="0"/>
      </w:pPr>
      <w:r>
        <w:rPr>
          <w:lang w:val="ru-RU" w:eastAsia="ru-RU" w:bidi="ru-RU"/>
          <w:w w:val="100"/>
          <w:spacing w:val="0"/>
          <w:color w:val="000000"/>
          <w:position w:val="0"/>
        </w:rPr>
        <w:t xml:space="preserve">Цветной б-р., д. 30, стр. 1, эт. 5, г. Москва, 127051, </w:t>
      </w:r>
      <w:r>
        <w:fldChar w:fldCharType="begin"/>
      </w:r>
      <w:r>
        <w:rPr>
          <w:color w:val="000000"/>
        </w:rPr>
        <w:instrText> HYPERLINK "mailto:zakupki@culture.mos.ru" </w:instrText>
      </w:r>
      <w:r>
        <w:fldChar w:fldCharType="separate"/>
      </w:r>
      <w:r>
        <w:rPr>
          <w:rStyle w:val="Hyperlink"/>
          <w:lang w:val="en-US" w:eastAsia="en-US" w:bidi="en-US"/>
          <w:w w:val="100"/>
          <w:spacing w:val="0"/>
          <w:position w:val="0"/>
        </w:rPr>
        <w:t>zakupki@culture.mos.ru</w:t>
      </w:r>
      <w:r>
        <w:fldChar w:fldCharType="end"/>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ООО «Грасс»</w:t>
      </w:r>
    </w:p>
    <w:p>
      <w:pPr>
        <w:pStyle w:val="Style5"/>
        <w:widowControl w:val="0"/>
        <w:keepNext w:val="0"/>
        <w:keepLines w:val="0"/>
        <w:shd w:val="clear" w:color="auto" w:fill="auto"/>
        <w:bidi w:val="0"/>
        <w:jc w:val="left"/>
        <w:spacing w:before="0" w:after="1411"/>
        <w:ind w:left="5320" w:right="40" w:firstLine="0"/>
      </w:pPr>
      <w:r>
        <w:rPr>
          <w:lang w:val="ru-RU" w:eastAsia="ru-RU" w:bidi="ru-RU"/>
          <w:w w:val="100"/>
          <w:spacing w:val="0"/>
          <w:color w:val="000000"/>
          <w:position w:val="0"/>
        </w:rPr>
        <w:t xml:space="preserve">ул. Бирюлевская, д. 24, корп. 1, пом. 3, ком. 2, оф. 2, г. Москва, 115404, </w:t>
      </w:r>
      <w:r>
        <w:rPr>
          <w:lang w:val="en-US" w:eastAsia="en-US" w:bidi="en-US"/>
          <w:w w:val="100"/>
          <w:spacing w:val="0"/>
          <w:color w:val="000000"/>
          <w:position w:val="0"/>
        </w:rPr>
        <w:t>dmitriy473 @yandex.ru</w:t>
      </w:r>
    </w:p>
    <w:p>
      <w:pPr>
        <w:pStyle w:val="Style7"/>
        <w:widowControl w:val="0"/>
        <w:keepNext w:val="0"/>
        <w:keepLines w:val="0"/>
        <w:shd w:val="clear" w:color="auto" w:fill="auto"/>
        <w:bidi w:val="0"/>
        <w:jc w:val="left"/>
        <w:spacing w:before="0" w:after="269"/>
        <w:ind w:left="2600" w:right="1980" w:firstLine="1780"/>
      </w:pPr>
      <w:r>
        <w:rPr>
          <w:lang w:val="ru-RU" w:eastAsia="ru-RU" w:bidi="ru-RU"/>
          <w:w w:val="100"/>
          <w:spacing w:val="0"/>
          <w:color w:val="000000"/>
          <w:position w:val="0"/>
        </w:rPr>
        <w:t>РЕШЕНИЕ по делу № 077/06/106-2100/2021 о нарушении законодательства о контрактной системе</w:t>
      </w:r>
    </w:p>
    <w:p>
      <w:pPr>
        <w:pStyle w:val="Style7"/>
        <w:tabs>
          <w:tab w:leader="none" w:pos="9106" w:val="right"/>
          <w:tab w:leader="none" w:pos="10158"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10.02.2021</w:t>
        <w:tab/>
        <w:t>г.</w:t>
        <w:tab/>
        <w:t>Москва</w:t>
      </w:r>
    </w:p>
    <w:p>
      <w:pPr>
        <w:pStyle w:val="Style5"/>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left"/>
        <w:spacing w:before="0" w:after="0" w:line="307" w:lineRule="exact"/>
        <w:ind w:left="20" w:right="4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left"/>
        <w:spacing w:before="0" w:after="0" w:line="307" w:lineRule="exact"/>
        <w:ind w:left="2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left"/>
        <w:spacing w:before="0" w:after="0" w:line="317" w:lineRule="exact"/>
        <w:ind w:left="20" w:right="40" w:firstLine="680"/>
      </w:pPr>
      <w:r>
        <w:rPr>
          <w:lang w:val="ru-RU" w:eastAsia="ru-RU" w:bidi="ru-RU"/>
          <w:w w:val="100"/>
          <w:spacing w:val="0"/>
          <w:color w:val="000000"/>
          <w:position w:val="0"/>
        </w:rPr>
        <w:t>Ведущего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left"/>
        <w:spacing w:before="0" w:after="0" w:line="317" w:lineRule="exact"/>
        <w:ind w:left="20" w:right="40" w:firstLine="680"/>
      </w:pPr>
      <w:r>
        <w:rPr>
          <w:lang w:val="ru-RU" w:eastAsia="ru-RU" w:bidi="ru-RU"/>
          <w:w w:val="100"/>
          <w:spacing w:val="0"/>
          <w:color w:val="000000"/>
          <w:position w:val="0"/>
        </w:rPr>
        <w:t>Ведущего специалиста-эксперта отдела обжалования государственных закупок Д.А. Аносова,</w:t>
      </w:r>
    </w:p>
    <w:p>
      <w:pPr>
        <w:pStyle w:val="Style3"/>
        <w:framePr w:w="1349" w:h="427" w:wrap="around" w:vAnchor="text" w:hAnchor="margin" w:x="351" w:y="97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000789891628</w:t>
      </w:r>
    </w:p>
    <w:p>
      <w:pPr>
        <w:pStyle w:val="Style5"/>
        <w:widowControl w:val="0"/>
        <w:keepNext w:val="0"/>
        <w:keepLines w:val="0"/>
        <w:shd w:val="clear" w:color="auto" w:fill="auto"/>
        <w:bidi w:val="0"/>
        <w:jc w:val="left"/>
        <w:spacing w:before="0" w:after="0" w:line="317" w:lineRule="exact"/>
        <w:ind w:left="20" w:right="4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 92-</w:t>
      </w:r>
      <w:r>
        <w:br w:type="page"/>
      </w:r>
    </w:p>
    <w:p>
      <w:pPr>
        <w:pStyle w:val="Style5"/>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 xml:space="preserve">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ГБУК г. Москвы «Московский государственный объединенный художественный историко-архитектурный</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и природно-ландшафтный музей-заповедник», ГКУ «Технический центр Департамента культуры города Москвы», ООО «Грасс»,</w:t>
      </w:r>
    </w:p>
    <w:p>
      <w:pPr>
        <w:pStyle w:val="Style5"/>
        <w:tabs>
          <w:tab w:leader="none" w:pos="8737" w:val="right"/>
          <w:tab w:leader="none" w:pos="10201" w:val="right"/>
        </w:tabs>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рассмотрев жалобу ООО «Грасс» (далее — Заявитель) а действия ГБУК г. Москвы «Московский государственный объединенный художественный историко-архитектурный и природно-ландшафтный музей-заповедник» (далее- Заказчик) при проведении электронного аукциона на право заключения государственного контракта на содержание исторического природного ландшафта на территории объекта культурного наследия федерального значения «Ансамбль подмосковной усадьбы «Люблино», конец 18</w:t>
        <w:tab/>
        <w:t>—</w:t>
        <w:tab/>
        <w:t>начало</w:t>
      </w:r>
    </w:p>
    <w:p>
      <w:pPr>
        <w:pStyle w:val="Style5"/>
        <w:widowControl w:val="0"/>
        <w:keepNext w:val="0"/>
        <w:keepLines w:val="0"/>
        <w:shd w:val="clear" w:color="auto" w:fill="auto"/>
        <w:bidi w:val="0"/>
        <w:jc w:val="both"/>
        <w:spacing w:before="0" w:after="349"/>
        <w:ind w:left="20" w:right="20" w:firstLine="0"/>
      </w:pPr>
      <w:r>
        <w:rPr>
          <w:lang w:val="ru-RU" w:eastAsia="ru-RU" w:bidi="ru-RU"/>
          <w:w w:val="100"/>
          <w:spacing w:val="0"/>
          <w:color w:val="000000"/>
          <w:position w:val="0"/>
        </w:rPr>
        <w:t>19 вв., арх. И.В. Еготов» Государственного бюджетного учреждения культуры города Москвы «Московский государственный объединенный художественный историко-архитектурный и природно-ландшафтный музей-заповедник» в 2021-2022 гг (Закупка № 0373200138221000009) (далее — аукцион, электронный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регламентом, утвержденным приказом ФАС России от 19.11.2014 №727/14,</w:t>
      </w:r>
    </w:p>
    <w:p>
      <w:pPr>
        <w:pStyle w:val="Style9"/>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№ЕИ/6579/21 от 08.02.2021.</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ind w:left="0" w:right="20" w:firstLine="580"/>
      </w:pPr>
      <w:r>
        <w:rPr>
          <w:lang w:val="ru-RU" w:eastAsia="ru-RU" w:bidi="ru-RU"/>
          <w:w w:val="100"/>
          <w:spacing w:val="0"/>
          <w:color w:val="000000"/>
          <w:position w:val="0"/>
        </w:rPr>
        <w:t>П 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widowControl w:val="0"/>
        <w:keepNext w:val="0"/>
        <w:keepLines w:val="0"/>
        <w:shd w:val="clear" w:color="auto" w:fill="auto"/>
        <w:bidi w:val="0"/>
        <w:jc w:val="both"/>
        <w:spacing w:before="0" w:after="0"/>
        <w:ind w:left="0" w:right="20" w:firstLine="580"/>
      </w:pPr>
      <w:r>
        <w:rPr>
          <w:lang w:val="ru-RU" w:eastAsia="ru-RU" w:bidi="ru-RU"/>
          <w:w w:val="100"/>
          <w:spacing w:val="0"/>
          <w:color w:val="000000"/>
          <w:position w:val="0"/>
        </w:rPr>
        <w:t>Согласно п.2 ст.42 Закона о контрактной системе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5"/>
        <w:numPr>
          <w:ilvl w:val="0"/>
          <w:numId w:val="1"/>
        </w:numPr>
        <w:tabs>
          <w:tab w:leader="none" w:pos="1085" w:val="left"/>
        </w:tabs>
        <w:widowControl w:val="0"/>
        <w:keepNext w:val="0"/>
        <w:keepLines w:val="0"/>
        <w:shd w:val="clear" w:color="auto" w:fill="auto"/>
        <w:bidi w:val="0"/>
        <w:jc w:val="both"/>
        <w:spacing w:before="0" w:after="0"/>
        <w:ind w:left="0" w:right="20" w:firstLine="580"/>
      </w:pPr>
      <w:r>
        <w:rPr>
          <w:lang w:val="ru-RU" w:eastAsia="ru-RU" w:bidi="ru-RU"/>
          <w:w w:val="100"/>
          <w:spacing w:val="0"/>
          <w:color w:val="000000"/>
          <w:position w:val="0"/>
        </w:rPr>
        <w:t>Заявитель указывает, что в составе аукционной документации требования к оказываемым услугам размещены в разных местах - Техническое задание и Регламент оказания услуг.</w:t>
      </w:r>
    </w:p>
    <w:p>
      <w:pPr>
        <w:pStyle w:val="Style5"/>
        <w:widowControl w:val="0"/>
        <w:keepNext w:val="0"/>
        <w:keepLines w:val="0"/>
        <w:shd w:val="clear" w:color="auto" w:fill="auto"/>
        <w:bidi w:val="0"/>
        <w:jc w:val="both"/>
        <w:spacing w:before="0" w:after="0"/>
        <w:ind w:left="0" w:right="20" w:firstLine="580"/>
      </w:pPr>
      <w:r>
        <w:rPr>
          <w:lang w:val="ru-RU" w:eastAsia="ru-RU" w:bidi="ru-RU"/>
          <w:w w:val="100"/>
          <w:spacing w:val="0"/>
          <w:color w:val="000000"/>
          <w:position w:val="0"/>
        </w:rPr>
        <w:t>Так согласно положениям Технического задания в состав Технического задания входит Приложение № 3 «Сметная документация» в составе которой размещен Регламент оказания услуг (далее — Регламент), который не относится к документам сметной документации, а регулирует порядок оказания услуг. В то же время «Сметная документация» является Приложением №4 к проекту государственного контракта. Вместе с тем указанный Регламент не отражен в Техническом задании и проекте контракта, в связи с чем не отображен его правовой статус.</w:t>
      </w:r>
    </w:p>
    <w:p>
      <w:pPr>
        <w:pStyle w:val="Style5"/>
        <w:widowControl w:val="0"/>
        <w:keepNext w:val="0"/>
        <w:keepLines w:val="0"/>
        <w:shd w:val="clear" w:color="auto" w:fill="auto"/>
        <w:bidi w:val="0"/>
        <w:jc w:val="both"/>
        <w:spacing w:before="0" w:after="0"/>
        <w:ind w:left="0" w:right="0" w:firstLine="580"/>
      </w:pPr>
      <w:r>
        <w:rPr>
          <w:lang w:val="ru-RU" w:eastAsia="ru-RU" w:bidi="ru-RU"/>
          <w:w w:val="100"/>
          <w:spacing w:val="0"/>
          <w:color w:val="000000"/>
          <w:position w:val="0"/>
        </w:rPr>
        <w:t>В силу ч. 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На заседании Комиссии Управления представители Заказчика пояснили, что положения Технического задания и проекта контракта автоматически формируются формируются в единой информационной системе в сфере закупок и у Заказчика отсутствует возможность по внесению необходимых дополнений в данные документы. В то же время в целях специфики объекта закупки и детального описания оказываемых услуг Заказчиком размещен Регламент. Регламент регулирует порядок оказания услуг, распределение оказания услуг в летнее и зимнее время, порядок содержания газонов, деревьев и кустарников, малых архитектурных форм и др. объектов на территории объекта культурного наследия федерального значения и особо охраняемой природной территории к которой относится «Ансамбль подмосковной усадьбы «Люблино» и является дополнением к типовому Техническому заданию.</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Комиссия Управления так же отмечает, что участниками закупки выражается согласие на оказание услуг на всех условиях аукционной документации размещенных Заказчиком, вне зависимости от того, в какой части аукционной документации размещены данные условия.</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Вместе с тем, Заявителем не предоставлены документы и сведения, подтверждающие обоснованность данного довода жалобы, свидетельствующие о невозможности формирования и подачи заявки на участие в электронном аукционе, а также свидетельствующие о нарушении Заказчиком норм Закона о контрактной системе при описании объекта закупки.</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Таким образом, Комиссия Управления приходит к выводу о необоснованности данного довода жалобы.</w:t>
      </w:r>
    </w:p>
    <w:p>
      <w:pPr>
        <w:pStyle w:val="Style5"/>
        <w:numPr>
          <w:ilvl w:val="0"/>
          <w:numId w:val="1"/>
        </w:numPr>
        <w:tabs>
          <w:tab w:leader="none" w:pos="1110" w:val="left"/>
        </w:tabs>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Согласно доводам жалобы Регламент содержит положение, противоречащее Техническому заданию, а именно: согласно п. 2.13 Технического задания «Места стоянки техники и автотранспорта Исполнителя, места для складирования материалов и мусора, образовавшегося в ходе оказания услуг, Исполнитель должен согласовать с Заказчиком в течение 3 (трех) рабочих дней с момента подписания Контракта», в то же время согласно Регламенту оказания услуг «Заказчик вправе, но не обязан, предоставить Исполнителю место для стоянки на территории МГОМЗ специализированной техники и автотранспорта Исполнителя. Исполнитель не вправе устраивать стоянку автотранспорта и спецтехники, а также складировать материалы и инвентарь на газонах/территории МГОМЗ». Таким образом, в случае если Заказчик откажет Исполнителю в предоставлении мест для стоянки автотранспорта на территории , то необходимости согласования у Исполнителя не возникнет. В тоже время, если Заказчик предоставит Исполнителю места для стоянки автотранспорта, то своими действиями он фактически согласует их с Исполнителем.</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На заседании Комиссии Управления представители Заказчика пояснили, что указанное дополнение связано с тем, что территория усадьбы «Люблино» является особо охраняемой природной территорией (ООПТ). Въезд на территорию осуществляется на основании пропуска, выданного ГПБУ «Мосприрода». Таким образом, пропуск Исполнитель обязан оформить самостоятельно. После предъявления такого пропуска Заказчик вправе согласовать въезд и стоянку автотранспорта и спецтехники Исполнителя.</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Вместе с тем на заседании Комиссии Управления представителем Заявителя не предоставлены документы и сведения, подтверждающие обоснованность данного довода жалобы, свидетельствующие о невозможности формирования и подачи заявки на участие в электронном аукционе, а также свидетельствующие о нарушении Заказчиком норм Закона о контрактной системе при описании объекта закупки.</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Таким образом, Комиссия Управления приходит к выводу о необоснованности данного довода жалобы.</w:t>
      </w:r>
    </w:p>
    <w:p>
      <w:pPr>
        <w:pStyle w:val="Style5"/>
        <w:numPr>
          <w:ilvl w:val="0"/>
          <w:numId w:val="1"/>
        </w:numPr>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 Так же согласно доводам жалобы в Регламенте имеется положение, согласно которому «Исполнитель осуществляет текущую расстановку садовых диванов и скамеек по местам по согласованию с Заказчиком», вместе с тем в Техническом задании и расчете НМЦК отсутствует указание на данный вид услуг.</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На заседании Комиссии Управления представители Заказчика пояснили, что в НМЦК включены работы по содержанию и уходу за газонами и садово-парковыми скамейками, включающие такие работы как, например, прополку, удобрение, ремонт газонов, а также ремонт малых деревянных архитектурных форм, при осуществлении которых выполняется перемещение диванов и скамеек.</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На основании вышеизложенного, Комиссия Управления приходит к выводу о необоснованности данного довода жалобы.</w:t>
      </w:r>
    </w:p>
    <w:p>
      <w:pPr>
        <w:pStyle w:val="Style5"/>
        <w:numPr>
          <w:ilvl w:val="0"/>
          <w:numId w:val="1"/>
        </w:numPr>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По мнению Заявителя, Заказчиком в вышеуказанном Регламенте установлены некорректные условия, что может вводить участников закупки в заблуждение, а именно:</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«летняя уборка территории: подметание, мойка или поливка вручную и с помощью спецмашины должна </w:t>
      </w:r>
      <w:r>
        <w:rPr>
          <w:rStyle w:val="CharStyle11"/>
        </w:rPr>
        <w:t>выполняться в утренние 09.00 утра и вечерние после</w:t>
      </w:r>
      <w:r>
        <w:rPr>
          <w:lang w:val="ru-RU" w:eastAsia="ru-RU" w:bidi="ru-RU"/>
          <w:w w:val="100"/>
          <w:spacing w:val="0"/>
          <w:color w:val="000000"/>
          <w:position w:val="0"/>
        </w:rPr>
        <w:t xml:space="preserve"> </w:t>
      </w:r>
      <w:r>
        <w:rPr>
          <w:rStyle w:val="CharStyle11"/>
        </w:rPr>
        <w:t>23.00»</w:t>
      </w:r>
      <w:r>
        <w:rPr>
          <w:lang w:val="ru-RU" w:eastAsia="ru-RU" w:bidi="ru-RU"/>
          <w:w w:val="100"/>
          <w:spacing w:val="0"/>
          <w:color w:val="000000"/>
          <w:position w:val="0"/>
        </w:rPr>
        <w:t>; «</w:t>
      </w:r>
      <w:r>
        <w:rPr>
          <w:rStyle w:val="CharStyle11"/>
        </w:rPr>
        <w:t>Полив газонов осуществляется после в утреннее и (или) вечернее время</w:t>
      </w:r>
      <w:r>
        <w:rPr>
          <w:lang w:val="ru-RU" w:eastAsia="ru-RU" w:bidi="ru-RU"/>
          <w:w w:val="100"/>
          <w:spacing w:val="0"/>
          <w:color w:val="000000"/>
          <w:position w:val="0"/>
        </w:rPr>
        <w:t xml:space="preserve"> </w:t>
      </w:r>
      <w:r>
        <w:rPr>
          <w:rStyle w:val="CharStyle11"/>
        </w:rPr>
        <w:t>суток</w:t>
      </w:r>
      <w:r>
        <w:rPr>
          <w:lang w:val="ru-RU" w:eastAsia="ru-RU" w:bidi="ru-RU"/>
          <w:w w:val="100"/>
          <w:spacing w:val="0"/>
          <w:color w:val="000000"/>
          <w:position w:val="0"/>
        </w:rPr>
        <w:t xml:space="preserve">: не позднее 8.00-9.00 часов и после 18.00-19.00 часов соответственно»; «Пни, оставшиеся после вырубки сухостойных, аварийных и упавших деревьев должны </w:t>
      </w:r>
      <w:r>
        <w:rPr>
          <w:rStyle w:val="CharStyle11"/>
        </w:rPr>
        <w:t>быть удалены в суток,</w:t>
      </w:r>
      <w:r>
        <w:rPr>
          <w:lang w:val="ru-RU" w:eastAsia="ru-RU" w:bidi="ru-RU"/>
          <w:w w:val="100"/>
          <w:spacing w:val="0"/>
          <w:color w:val="000000"/>
          <w:position w:val="0"/>
        </w:rPr>
        <w:t xml:space="preserve"> с применением профессионального оборудования (пнедробилка), обеспечивающей параметры резки пня - до 30 см ниже уровня грунта».</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На заседании Комиссии Управления представители Заказчика пояснили, что указанные технические ошибки не влияют на суть установленных требований к оказываемым услугам и не препятствует пониманию положений аукционной документации участниками закупки. Согласно пояснениям представителей Заказчика данное обстоятельство подтверждается отсутствием запросов на разъяснение положений аукционной документации, а также тем фактом, что на участие в аукционе подано семь заявок.</w:t>
      </w:r>
    </w:p>
    <w:p>
      <w:pPr>
        <w:pStyle w:val="Style5"/>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Вместе с тем Заявителем не предоставлены документы и сведения, подтверждающие обоснованность данного довода жалобы, свидетельствующие о невозможности формирования и подачи заявки на участие в электронном аукционе, а также свидетельствующие о нарушении Заказчиком норм Закона о контрактной системе при описании объекта закупки. Кроме того, Заявителем не представлены документы, свидетельствующие о нарушении законных прав и интересов участника закупки, в том числе свидетельствующие о том, что технические ошибки, допущенные при описании условий оказания услуг препятствуют заполнению заявки на участие в электронном аукционе.</w:t>
      </w:r>
    </w:p>
    <w:p>
      <w:pPr>
        <w:pStyle w:val="Style5"/>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Таким образом, Комиссия Управления приходит к выводу о необоснованности данного довода жалобы.</w:t>
      </w:r>
    </w:p>
    <w:p>
      <w:pPr>
        <w:pStyle w:val="Style5"/>
        <w:widowControl w:val="0"/>
        <w:keepNext w:val="0"/>
        <w:keepLines w:val="0"/>
        <w:shd w:val="clear" w:color="auto" w:fill="auto"/>
        <w:bidi w:val="0"/>
        <w:jc w:val="both"/>
        <w:spacing w:before="0" w:after="349"/>
        <w:ind w:left="0" w:right="2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9"/>
        <w:widowControl w:val="0"/>
        <w:keepNext/>
        <w:keepLines/>
        <w:shd w:val="clear" w:color="auto" w:fill="auto"/>
        <w:bidi w:val="0"/>
        <w:spacing w:before="0" w:after="0"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jc w:val="both"/>
        <w:spacing w:before="0" w:after="0" w:line="326" w:lineRule="exact"/>
        <w:ind w:left="0" w:right="20" w:firstLine="560"/>
      </w:pPr>
      <w:r>
        <w:rPr>
          <w:lang w:val="ru-RU" w:eastAsia="ru-RU" w:bidi="ru-RU"/>
          <w:w w:val="100"/>
          <w:spacing w:val="0"/>
          <w:color w:val="000000"/>
          <w:position w:val="0"/>
        </w:rPr>
        <w:t xml:space="preserve"> Признать жалобу ООО «Грасс» на действия ГКУ «Технический центр Департамента культуры города Москвы» необоснованной.</w:t>
      </w:r>
    </w:p>
    <w:p>
      <w:pPr>
        <w:pStyle w:val="Style5"/>
        <w:numPr>
          <w:ilvl w:val="0"/>
          <w:numId w:val="3"/>
        </w:numPr>
        <w:widowControl w:val="0"/>
        <w:keepNext w:val="0"/>
        <w:keepLines w:val="0"/>
        <w:shd w:val="clear" w:color="auto" w:fill="auto"/>
        <w:bidi w:val="0"/>
        <w:jc w:val="both"/>
        <w:spacing w:before="0" w:after="296"/>
        <w:ind w:left="0" w:right="20" w:firstLine="560"/>
      </w:pPr>
      <w:r>
        <w:rPr>
          <w:lang w:val="ru-RU" w:eastAsia="ru-RU" w:bidi="ru-RU"/>
          <w:w w:val="100"/>
          <w:spacing w:val="0"/>
          <w:color w:val="000000"/>
          <w:position w:val="0"/>
        </w:rPr>
        <w:t xml:space="preserve"> Снять ограничения, наложенные на осуществление закупки письмом Московского УФАС России (исх.№ЕИ/6579/21 от 08.02.2021).</w:t>
      </w:r>
    </w:p>
    <w:p>
      <w:pPr>
        <w:pStyle w:val="Style5"/>
        <w:widowControl w:val="0"/>
        <w:keepNext w:val="0"/>
        <w:keepLines w:val="0"/>
        <w:shd w:val="clear" w:color="auto" w:fill="auto"/>
        <w:bidi w:val="0"/>
        <w:jc w:val="both"/>
        <w:spacing w:before="0" w:after="47" w:line="326" w:lineRule="exact"/>
        <w:ind w:left="0" w:right="20" w:firstLine="560"/>
      </w:pPr>
      <w:r>
        <w:rPr>
          <w:lang w:val="ru-RU" w:eastAsia="ru-RU" w:bidi="ru-RU"/>
          <w:w w:val="100"/>
          <w:spacing w:val="0"/>
          <w:color w:val="000000"/>
          <w:position w:val="0"/>
        </w:rPr>
        <w:t>Решение может быть обжаловано в суде (Арбитражном суде) в соответствии с законодательством Российской Федерации.</w:t>
      </w:r>
    </w:p>
    <w:p>
      <w:pPr>
        <w:pStyle w:val="Style5"/>
        <w:tabs>
          <w:tab w:leader="none" w:pos="9096" w:val="right"/>
          <w:tab w:leader="none" w:pos="1014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С.И.</w:t>
        <w:tab/>
        <w:t>Казарин</w:t>
      </w:r>
    </w:p>
    <w:p>
      <w:pPr>
        <w:pStyle w:val="Style5"/>
        <w:tabs>
          <w:tab w:leader="none" w:pos="8194"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А.А. Кутейников</w:t>
      </w:r>
    </w:p>
    <w:p>
      <w:pPr>
        <w:pStyle w:val="Style5"/>
        <w:widowControl w:val="0"/>
        <w:keepNext w:val="0"/>
        <w:keepLines w:val="0"/>
        <w:shd w:val="clear" w:color="auto" w:fill="auto"/>
        <w:bidi w:val="0"/>
        <w:jc w:val="right"/>
        <w:spacing w:before="0" w:after="2231" w:line="643" w:lineRule="exact"/>
        <w:ind w:left="0" w:right="20" w:firstLine="0"/>
      </w:pPr>
      <w:r>
        <w:rPr>
          <w:lang w:val="ru-RU" w:eastAsia="ru-RU" w:bidi="ru-RU"/>
          <w:w w:val="100"/>
          <w:spacing w:val="0"/>
          <w:color w:val="000000"/>
          <w:position w:val="0"/>
        </w:rPr>
        <w:t>Д.А. Аносов</w:t>
      </w:r>
    </w:p>
    <w:p>
      <w:pPr>
        <w:pStyle w:val="Style12"/>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Кутейников А.А. 8(495) 784-75-05 (077-162)</w:t>
      </w:r>
    </w:p>
    <w:sectPr>
      <w:footnotePr>
        <w:pos w:val="pageBottom"/>
        <w:numFmt w:val="decimal"/>
        <w:numRestart w:val="continuous"/>
      </w:footnotePr>
      <w:type w:val="continuous"/>
      <w:pgSz w:w="11906" w:h="16838"/>
      <w:pgMar w:top="1235" w:left="848" w:right="838" w:bottom="134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380" w:after="300" w:line="283"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186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