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43" w:line="260" w:lineRule="exact"/>
        <w:ind w:left="5320" w:right="0" w:firstLine="0"/>
      </w:pPr>
      <w:r>
        <w:rPr>
          <w:lang w:val="ru-RU" w:eastAsia="ru-RU" w:bidi="ru-RU"/>
          <w:w w:val="100"/>
          <w:spacing w:val="0"/>
          <w:color w:val="000000"/>
          <w:position w:val="0"/>
        </w:rPr>
        <w:t>ГУП «Московский метрополитен»</w:t>
      </w:r>
    </w:p>
    <w:p>
      <w:pPr>
        <w:pStyle w:val="Style5"/>
        <w:widowControl w:val="0"/>
        <w:keepNext w:val="0"/>
        <w:keepLines w:val="0"/>
        <w:shd w:val="clear" w:color="auto" w:fill="auto"/>
        <w:bidi w:val="0"/>
        <w:jc w:val="left"/>
        <w:spacing w:before="0" w:after="289" w:line="322" w:lineRule="exact"/>
        <w:ind w:left="5320" w:right="740" w:firstLine="0"/>
      </w:pPr>
      <w:r>
        <w:rPr>
          <w:lang w:val="ru-RU" w:eastAsia="ru-RU" w:bidi="ru-RU"/>
          <w:w w:val="100"/>
          <w:spacing w:val="0"/>
          <w:color w:val="000000"/>
          <w:position w:val="0"/>
        </w:rPr>
        <w:t xml:space="preserve">пр-кт Мира, д. 41, стр. 2, г. Москва, 129110, </w:t>
      </w:r>
      <w:r>
        <w:fldChar w:fldCharType="begin"/>
      </w:r>
      <w:r>
        <w:rPr>
          <w:color w:val="000000"/>
        </w:rPr>
        <w:instrText> HYPERLINK "mailto:torgi@mosmetro.ru" </w:instrText>
      </w:r>
      <w:r>
        <w:fldChar w:fldCharType="separate"/>
      </w:r>
      <w:r>
        <w:rPr>
          <w:rStyle w:val="Hyperlink"/>
          <w:lang w:val="en-US" w:eastAsia="en-US" w:bidi="en-US"/>
          <w:w w:val="100"/>
          <w:spacing w:val="0"/>
          <w:position w:val="0"/>
        </w:rPr>
        <w:t>torgi@mosmetro.ru</w:t>
      </w:r>
      <w:r>
        <w:fldChar w:fldCharType="end"/>
      </w:r>
    </w:p>
    <w:p>
      <w:pPr>
        <w:pStyle w:val="Style5"/>
        <w:widowControl w:val="0"/>
        <w:keepNext w:val="0"/>
        <w:keepLines w:val="0"/>
        <w:shd w:val="clear" w:color="auto" w:fill="auto"/>
        <w:bidi w:val="0"/>
        <w:jc w:val="left"/>
        <w:spacing w:before="0" w:after="249" w:line="260" w:lineRule="exact"/>
        <w:ind w:left="5320" w:right="0" w:firstLine="0"/>
      </w:pPr>
      <w:r>
        <w:rPr>
          <w:lang w:val="ru-RU" w:eastAsia="ru-RU" w:bidi="ru-RU"/>
          <w:w w:val="100"/>
          <w:spacing w:val="0"/>
          <w:color w:val="000000"/>
          <w:position w:val="0"/>
        </w:rPr>
        <w:t>ГКУ «ДТЗ»</w:t>
      </w:r>
    </w:p>
    <w:p>
      <w:pPr>
        <w:pStyle w:val="Style5"/>
        <w:widowControl w:val="0"/>
        <w:keepNext w:val="0"/>
        <w:keepLines w:val="0"/>
        <w:shd w:val="clear" w:color="auto" w:fill="auto"/>
        <w:bidi w:val="0"/>
        <w:jc w:val="left"/>
        <w:spacing w:before="0" w:after="293" w:line="326" w:lineRule="exact"/>
        <w:ind w:left="5320" w:right="360" w:firstLine="0"/>
      </w:pPr>
      <w:r>
        <w:rPr>
          <w:lang w:val="ru-RU" w:eastAsia="ru-RU" w:bidi="ru-RU"/>
          <w:w w:val="100"/>
          <w:spacing w:val="0"/>
          <w:color w:val="000000"/>
          <w:position w:val="0"/>
        </w:rPr>
        <w:t xml:space="preserve">ул. Щепкина, д. 51/4, стр. 2, г. Москва, 129110, </w:t>
      </w:r>
      <w:r>
        <w:fldChar w:fldCharType="begin"/>
      </w:r>
      <w:r>
        <w:rPr>
          <w:color w:val="000000"/>
        </w:rPr>
        <w:instrText> HYPERLINK "mailto:dtz-torgi@transport.mos.ru" </w:instrText>
      </w:r>
      <w:r>
        <w:fldChar w:fldCharType="separate"/>
      </w:r>
      <w:r>
        <w:rPr>
          <w:rStyle w:val="Hyperlink"/>
          <w:lang w:val="en-US" w:eastAsia="en-US" w:bidi="en-US"/>
          <w:w w:val="100"/>
          <w:spacing w:val="0"/>
          <w:position w:val="0"/>
        </w:rPr>
        <w:t>dtz-torgi@transport.mos.ru</w:t>
      </w:r>
      <w:r>
        <w:fldChar w:fldCharType="end"/>
      </w:r>
    </w:p>
    <w:p>
      <w:pPr>
        <w:pStyle w:val="Style5"/>
        <w:widowControl w:val="0"/>
        <w:keepNext w:val="0"/>
        <w:keepLines w:val="0"/>
        <w:shd w:val="clear" w:color="auto" w:fill="auto"/>
        <w:bidi w:val="0"/>
        <w:jc w:val="left"/>
        <w:spacing w:before="0" w:after="247" w:line="260" w:lineRule="exact"/>
        <w:ind w:left="5320" w:right="0" w:firstLine="0"/>
      </w:pPr>
      <w:r>
        <w:rPr>
          <w:lang w:val="ru-RU" w:eastAsia="ru-RU" w:bidi="ru-RU"/>
          <w:w w:val="100"/>
          <w:spacing w:val="0"/>
          <w:color w:val="000000"/>
          <w:position w:val="0"/>
        </w:rPr>
        <w:t>ООО «Перспектива-Союз»</w:t>
      </w:r>
    </w:p>
    <w:p>
      <w:pPr>
        <w:pStyle w:val="Style5"/>
        <w:widowControl w:val="0"/>
        <w:keepNext w:val="0"/>
        <w:keepLines w:val="0"/>
        <w:shd w:val="clear" w:color="auto" w:fill="auto"/>
        <w:bidi w:val="0"/>
        <w:jc w:val="left"/>
        <w:spacing w:before="0" w:after="1436" w:line="317" w:lineRule="exact"/>
        <w:ind w:left="5320" w:right="360" w:firstLine="0"/>
      </w:pPr>
      <w:r>
        <w:rPr>
          <w:lang w:val="ru-RU" w:eastAsia="ru-RU" w:bidi="ru-RU"/>
          <w:w w:val="100"/>
          <w:spacing w:val="0"/>
          <w:color w:val="000000"/>
          <w:position w:val="0"/>
        </w:rPr>
        <w:t xml:space="preserve">Московское ш., д. 2, пом 6, г. Вологда, 160025, </w:t>
      </w:r>
      <w:r>
        <w:fldChar w:fldCharType="begin"/>
      </w:r>
      <w:r>
        <w:rPr>
          <w:color w:val="000000"/>
        </w:rPr>
        <w:instrText> HYPERLINK "mailto:info-souz35@mail.ru" </w:instrText>
      </w:r>
      <w:r>
        <w:fldChar w:fldCharType="separate"/>
      </w:r>
      <w:r>
        <w:rPr>
          <w:rStyle w:val="Hyperlink"/>
          <w:lang w:val="en-US" w:eastAsia="en-US" w:bidi="en-US"/>
          <w:w w:val="100"/>
          <w:spacing w:val="0"/>
          <w:position w:val="0"/>
        </w:rPr>
        <w:t>info-souz35@mail.ru</w:t>
      </w:r>
      <w:r>
        <w:fldChar w:fldCharType="end"/>
      </w:r>
    </w:p>
    <w:p>
      <w:pPr>
        <w:pStyle w:val="Style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РЕШЕНИЕ по делу № 077/06/106-2084/2021 о нарушении законодательства о контрактной системе</w:t>
      </w:r>
    </w:p>
    <w:p>
      <w:pPr>
        <w:pStyle w:val="Style7"/>
        <w:numPr>
          <w:ilvl w:val="0"/>
          <w:numId w:val="1"/>
        </w:numPr>
        <w:tabs>
          <w:tab w:leader="none" w:pos="10114"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07" w:lineRule="exact"/>
        <w:ind w:left="2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jc w:val="both"/>
        <w:spacing w:before="0" w:after="0" w:line="307"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line="317" w:lineRule="exact"/>
        <w:ind w:left="20" w:right="20" w:firstLine="560"/>
      </w:pPr>
      <w:r>
        <w:rPr>
          <w:lang w:val="ru-RU" w:eastAsia="ru-RU" w:bidi="ru-RU"/>
          <w:w w:val="100"/>
          <w:spacing w:val="0"/>
          <w:color w:val="000000"/>
          <w:position w:val="0"/>
        </w:rPr>
        <w:t>Ведущего специалиста-эксперта отдела обжалования государственных закупок Д.А. Аносова,</w:t>
      </w:r>
    </w:p>
    <w:p>
      <w:pPr>
        <w:pStyle w:val="Style5"/>
        <w:widowControl w:val="0"/>
        <w:keepNext w:val="0"/>
        <w:keepLines w:val="0"/>
        <w:shd w:val="clear" w:color="auto" w:fill="auto"/>
        <w:bidi w:val="0"/>
        <w:jc w:val="both"/>
        <w:spacing w:before="0" w:after="0" w:line="288" w:lineRule="exact"/>
        <w:ind w:left="20" w:right="20" w:firstLine="5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5"/>
        <w:widowControl w:val="0"/>
        <w:keepNext w:val="0"/>
        <w:keepLines w:val="0"/>
        <w:shd w:val="clear" w:color="auto" w:fill="auto"/>
        <w:bidi w:val="0"/>
        <w:jc w:val="left"/>
        <w:spacing w:before="0" w:after="0" w:line="307" w:lineRule="exact"/>
        <w:ind w:left="20" w:right="20" w:firstLine="560"/>
      </w:pPr>
      <w:r>
        <w:rPr>
          <w:lang w:val="ru-RU" w:eastAsia="ru-RU" w:bidi="ru-RU"/>
          <w:w w:val="100"/>
          <w:spacing w:val="0"/>
          <w:color w:val="000000"/>
          <w:position w:val="0"/>
        </w:rPr>
        <w:t>при участии представителей ГУП «Московский метрополитен», ГКУ «ДТЗ», в отсутствие представителей ООО «Перспектива-Союз», о времени и порядке заседания Комиссии уведомленных письмом Московского УФАС России от</w:t>
      </w:r>
    </w:p>
    <w:p>
      <w:pPr>
        <w:pStyle w:val="Style5"/>
        <w:numPr>
          <w:ilvl w:val="0"/>
          <w:numId w:val="3"/>
        </w:numPr>
        <w:widowControl w:val="0"/>
        <w:keepNext w:val="0"/>
        <w:keepLines w:val="0"/>
        <w:shd w:val="clear" w:color="auto" w:fill="auto"/>
        <w:bidi w:val="0"/>
        <w:jc w:val="both"/>
        <w:spacing w:before="0" w:after="2" w:line="260" w:lineRule="exact"/>
        <w:ind w:left="20" w:right="0" w:firstLine="0"/>
      </w:pPr>
      <w:r>
        <w:rPr>
          <w:lang w:val="ru-RU" w:eastAsia="ru-RU" w:bidi="ru-RU"/>
          <w:w w:val="100"/>
          <w:spacing w:val="0"/>
          <w:color w:val="000000"/>
          <w:position w:val="0"/>
        </w:rPr>
        <w:t xml:space="preserve"> №ЕИ/6577/21,</w:t>
      </w:r>
    </w:p>
    <w:p>
      <w:pPr>
        <w:pStyle w:val="Style3"/>
        <w:framePr w:w="1349" w:h="427" w:wrap="around" w:vAnchor="text" w:hAnchor="margin" w:x="351" w:y="649"/>
        <w:widowControl w:val="0"/>
        <w:keepNext w:val="0"/>
        <w:keepLines w:val="0"/>
        <w:shd w:val="clear" w:color="auto" w:fill="auto"/>
        <w:bidi w:val="0"/>
        <w:jc w:val="left"/>
        <w:spacing w:before="0" w:after="0" w:line="240" w:lineRule="auto"/>
        <w:ind w:left="0" w:right="0" w:firstLine="0"/>
      </w:pPr>
      <w:r>
        <w:rPr>
          <w:w w:val="100"/>
          <w:spacing w:val="0"/>
          <w:color w:val="000000"/>
          <w:position w:val="0"/>
        </w:rPr>
        <w:t>000351980519</w:t>
      </w:r>
    </w:p>
    <w:p>
      <w:pPr>
        <w:pStyle w:val="Style5"/>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рассмотрев жалобу ООО «Перспектива-Союз» (далее — Заявитель) на действия</w:t>
      </w:r>
      <w:r>
        <w:br w:type="page"/>
      </w:r>
    </w:p>
    <w:p>
      <w:pPr>
        <w:pStyle w:val="Style5"/>
        <w:widowControl w:val="0"/>
        <w:keepNext w:val="0"/>
        <w:keepLines w:val="0"/>
        <w:shd w:val="clear" w:color="auto" w:fill="auto"/>
        <w:bidi w:val="0"/>
        <w:jc w:val="both"/>
        <w:spacing w:before="0" w:after="273" w:line="288" w:lineRule="exact"/>
        <w:ind w:left="0" w:right="20" w:firstLine="0"/>
      </w:pPr>
      <w:r>
        <w:rPr>
          <w:lang w:val="ru-RU" w:eastAsia="ru-RU" w:bidi="ru-RU"/>
          <w:w w:val="100"/>
          <w:spacing w:val="0"/>
          <w:color w:val="000000"/>
          <w:position w:val="0"/>
        </w:rPr>
        <w:t>ГУП «Московский метрополитен» (далее-Заказчик) при проведении электронного аукциона на право заключения государственного контракта на поставку асинхронных электродвигателей (Закупка № 0373200082120001366)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№727/14,</w:t>
      </w:r>
    </w:p>
    <w:p>
      <w:pPr>
        <w:pStyle w:val="Style9"/>
        <w:widowControl w:val="0"/>
        <w:keepNext/>
        <w:keepLines/>
        <w:shd w:val="clear" w:color="auto" w:fill="auto"/>
        <w:bidi w:val="0"/>
        <w:jc w:val="left"/>
        <w:spacing w:before="0" w:after="0"/>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от 08.02.2021 №ЕИ/6577/21.</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Заявитель обжалует действия Заказчика, выразившиеся в направлении Заявителю проекта контракта с ценой, сниженной на 15 процентов от предложенной обществом в ходе аукциона в соответствии с положениями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что, по мнению Заявителя, является неправомерным ввиду нижеследующего.</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доводам жалобы среди предложений участников, допущенных к участию в аукционе, присутствуют предложения о поставке товаров членов Евразийского экономического союза, которые содержат недостоверные данные.</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По мнению Заявителя, применение условий допуска в соответствии с приказом № 126н неправомерно, поскольку в закупке участвовал только один участник, являющийся российским производителем предмета аукциона - ООО «Сибирский электротехнический завод». Заявка данного участника была признана не соответствующей требованиям закона при рассмотрении вторых частей заявок. Соответственно, предложение данного участника не может учитываться в целях применения п. 1.3 приказа № 126н.</w:t>
      </w:r>
    </w:p>
    <w:p>
      <w:pPr>
        <w:pStyle w:val="Style5"/>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Согласно п</w:t>
      </w:r>
      <w:r>
        <w:fldChar w:fldCharType="begin"/>
      </w:r>
      <w:r>
        <w:rPr>
          <w:color w:val="000000"/>
        </w:rPr>
        <w:instrText> HYPERLINK "https://zakupki.gov.ru/epz/order/notice/ea44/view/protocol/protocol-main-info.html?regNumber=0373200082120001366&amp;protocolId=31812195" </w:instrText>
      </w:r>
      <w:r>
        <w:fldChar w:fldCharType="separate"/>
      </w:r>
      <w:r>
        <w:rPr>
          <w:rStyle w:val="Hyperlink"/>
          <w:lang w:val="ru-RU" w:eastAsia="ru-RU" w:bidi="ru-RU"/>
          <w:w w:val="100"/>
          <w:spacing w:val="0"/>
          <w:position w:val="0"/>
        </w:rPr>
        <w:t>ротоколу подведения итогов электронного аукциона от 28.01.2021</w:t>
      </w:r>
      <w:r>
        <w:fldChar w:fldCharType="end"/>
      </w:r>
      <w:r>
        <w:rPr>
          <w:lang w:val="ru-RU" w:eastAsia="ru-RU" w:bidi="ru-RU"/>
          <w:w w:val="100"/>
          <w:spacing w:val="0"/>
          <w:color w:val="000000"/>
          <w:position w:val="0"/>
        </w:rPr>
        <w:t xml:space="preserve"> </w:t>
      </w:r>
      <w:r>
        <w:fldChar w:fldCharType="begin"/>
      </w:r>
      <w:r>
        <w:rPr>
          <w:color w:val="000000"/>
        </w:rPr>
        <w:instrText> HYPERLINK "https://zakupki.gov.ru/epz/order/notice/ea44/view/protocol/protocol-main-info.html?regNumber=0373200082120001366&amp;protocolId=31812195" </w:instrText>
      </w:r>
      <w:r>
        <w:fldChar w:fldCharType="separate"/>
      </w:r>
      <w:r>
        <w:rPr>
          <w:rStyle w:val="Hyperlink"/>
          <w:lang w:val="ru-RU" w:eastAsia="ru-RU" w:bidi="ru-RU"/>
          <w:w w:val="100"/>
          <w:spacing w:val="0"/>
          <w:position w:val="0"/>
        </w:rPr>
        <w:t xml:space="preserve">№0373200082120001366-3 </w:t>
      </w:r>
      <w:r>
        <w:fldChar w:fldCharType="end"/>
      </w:r>
      <w:r>
        <w:rPr>
          <w:lang w:val="ru-RU" w:eastAsia="ru-RU" w:bidi="ru-RU"/>
          <w:w w:val="100"/>
          <w:spacing w:val="0"/>
          <w:color w:val="000000"/>
          <w:position w:val="0"/>
        </w:rPr>
        <w:t>Заявитель (идентификационный номер заявки 10) признан победителем аукциона, предложившим наименьшую цену контракта 2 948 486,80 рублей.</w:t>
      </w:r>
    </w:p>
    <w:p>
      <w:pPr>
        <w:pStyle w:val="Style5"/>
        <w:tabs>
          <w:tab w:leader="none" w:pos="2451" w:val="left"/>
        </w:tabs>
        <w:widowControl w:val="0"/>
        <w:keepNext w:val="0"/>
        <w:keepLines w:val="0"/>
        <w:shd w:val="clear" w:color="auto" w:fill="auto"/>
        <w:bidi w:val="0"/>
        <w:jc w:val="both"/>
        <w:spacing w:before="0" w:after="0" w:line="322" w:lineRule="exact"/>
        <w:ind w:left="0" w:right="0" w:firstLine="560"/>
      </w:pPr>
      <w:r>
        <w:rPr>
          <w:lang w:val="ru-RU" w:eastAsia="ru-RU" w:bidi="ru-RU"/>
          <w:w w:val="100"/>
          <w:spacing w:val="0"/>
          <w:color w:val="000000"/>
          <w:position w:val="0"/>
        </w:rPr>
        <w:t>В силу ч.4</w:t>
        <w:tab/>
        <w:t>ст.14 Закона о контрактной системе федеральный орган</w:t>
      </w:r>
    </w:p>
    <w:p>
      <w:pPr>
        <w:pStyle w:val="Style5"/>
        <w:widowControl w:val="0"/>
        <w:keepNext w:val="0"/>
        <w:keepLines w:val="0"/>
        <w:shd w:val="clear" w:color="auto" w:fill="auto"/>
        <w:bidi w:val="0"/>
        <w:jc w:val="both"/>
        <w:spacing w:before="0" w:after="0" w:line="322" w:lineRule="exact"/>
        <w:ind w:left="0" w:right="20" w:firstLine="0"/>
      </w:pPr>
      <w:r>
        <w:rPr>
          <w:lang w:val="ru-RU" w:eastAsia="ru-RU" w:bidi="ru-RU"/>
          <w:w w:val="100"/>
          <w:spacing w:val="0"/>
          <w:color w:val="000000"/>
          <w:position w:val="0"/>
        </w:rPr>
        <w:t>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п.10 ст.42 Закона о контрактной системе в извещении об осуществлении закупки должна содержаться информация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5"/>
        <w:tabs>
          <w:tab w:leader="none" w:pos="8262"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а также требования к содержанию, составу заявки на участие в таком аукционе в соответствии с ч.3-6</w:t>
        <w:tab/>
        <w:t>ст.66 Закона</w:t>
      </w:r>
    </w:p>
    <w:p>
      <w:pPr>
        <w:pStyle w:val="Style5"/>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пп.а п.2 ч.3 ст.66 Закона о контрактной системе первая часть заявки на участие в электронном аукционе, за исключением случая, предусмотренного ч.3.1 ст.66 Закона о контрактной системе, должна содержать наименование страны происхождения товара.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Пунктом 1 приказа № 126н определяет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указанных в приложении к приказу.</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соответствии с пп. а п.1.3 приказа №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Пунктом 2 приказа № 126н установлено, что положения подпунктов 1.1 - 1.3 пункта 1 приказа № 126н не применяются при проведении конкурса, аукциона, запроса котировок, запроса предложений в случаях, если:</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а) конкурс, аукцион, запрос котировок, запрос предложений признается не состоявшимся в случаях, предусмотренных Законом о контрактной системе;</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б) все заявки (окончательные предложения) участников закупки, признанные в порядке, Законом о контрактной системе, соответствующими требованиям документации о закупке, извещения о проведении запроса котировок, содержат предложения о поставке товаров, указанных в Приложении и происходящих исключительно из государств - членов Евразийского экономического союза;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все заявки (окончательные предложения) участников закупки, признанные в порядке, предусмотренном Законом о контрактной системе, соответствующими требованиям документации о закупке, извещения о проведении запроса котировок, содержат предложение о поставке указанных в Приложении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г) в отношении товаров, указанных в Приложении, Правительством Российской Федерации установлен запрет в соответствии с частью 3 статьи 14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основании п.1.6 приказа № 126н подтверждением страны происхождения товаров, указанных в Приложении, является указание (декларирование) участником закупки в заявке в соответствии с Законом о контрактной системе наименования страны происхождения товара.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 силу ч.1 ст.34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На заседании Комиссии Управления установлено, что в составе первой части заявки Заявителя предложены к поставке в том числе товары иностранного происхождения.</w:t>
      </w:r>
    </w:p>
    <w:p>
      <w:pPr>
        <w:pStyle w:val="Style5"/>
        <w:tabs>
          <w:tab w:leader="none" w:pos="2530" w:val="left"/>
        </w:tabs>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Вместе с тем на участие в закупке поданы заявки, в составе первой части которой продекларирована страна происхождения поставляемого товара — Российская Федерация (идентификационные номера заявок 2, 3, 4, 6), признанные соответствующими требованиям документации, в то время как Заявителем предложены к поставке товары иностранного происхождения, в связи с чем, к победителю аукциона в лице Заявителя применён 15-процентный коэффициент снижения предложенной цены контракта, ввиду несоблюдения условий неприменения порядка, установленного пп.1.1-1.3 п.1 приказа 126н, определенных в п.2 приказа №</w:t>
        <w:tab/>
        <w:t>126н, что не противоречит положениям действующего</w:t>
      </w:r>
    </w:p>
    <w:p>
      <w:pPr>
        <w:pStyle w:val="Style5"/>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законодательства.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Таким образом, Комиссия Управления приходит к выводу, что доводы жалобы не нашли своего подтверждения и являются необоснованными, и что решение Заказчика в части применения к победителю аукциона понижающего коэффициента к предложенной цене контракта является правомерным и не противоречит требованиям приказа № 126н и Закона о контрактной системе.</w:t>
      </w:r>
    </w:p>
    <w:p>
      <w:pPr>
        <w:pStyle w:val="Style5"/>
        <w:widowControl w:val="0"/>
        <w:keepNext w:val="0"/>
        <w:keepLines w:val="0"/>
        <w:shd w:val="clear" w:color="auto" w:fill="auto"/>
        <w:bidi w:val="0"/>
        <w:jc w:val="both"/>
        <w:spacing w:before="0" w:after="313" w:line="322" w:lineRule="exact"/>
        <w:ind w:left="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11"/>
        <w:widowControl w:val="0"/>
        <w:keepNext w:val="0"/>
        <w:keepLines w:val="0"/>
        <w:shd w:val="clear" w:color="auto" w:fill="auto"/>
        <w:bidi w:val="0"/>
        <w:jc w:val="left"/>
        <w:spacing w:before="0" w:after="0" w:line="230" w:lineRule="exact"/>
        <w:ind w:left="4660" w:right="0" w:firstLine="0"/>
      </w:pPr>
      <w:r>
        <w:rPr>
          <w:lang w:val="ru-RU" w:eastAsia="ru-RU" w:bidi="ru-RU"/>
          <w:w w:val="100"/>
          <w:spacing w:val="0"/>
          <w:color w:val="000000"/>
          <w:position w:val="0"/>
        </w:rPr>
        <w:t>Р Е Ш И Л А:</w:t>
      </w:r>
    </w:p>
    <w:p>
      <w:pPr>
        <w:pStyle w:val="Style5"/>
        <w:numPr>
          <w:ilvl w:val="0"/>
          <w:numId w:val="5"/>
        </w:numPr>
        <w:widowControl w:val="0"/>
        <w:keepNext w:val="0"/>
        <w:keepLines w:val="0"/>
        <w:shd w:val="clear" w:color="auto" w:fill="auto"/>
        <w:bidi w:val="0"/>
        <w:jc w:val="left"/>
        <w:spacing w:before="0" w:after="0" w:line="317" w:lineRule="exact"/>
        <w:ind w:left="0" w:right="20" w:firstLine="720"/>
      </w:pPr>
      <w:r>
        <w:rPr>
          <w:lang w:val="ru-RU" w:eastAsia="ru-RU" w:bidi="ru-RU"/>
          <w:w w:val="100"/>
          <w:spacing w:val="0"/>
          <w:color w:val="000000"/>
          <w:position w:val="0"/>
        </w:rPr>
        <w:t xml:space="preserve"> Признать жалобу ООО «Перспектива-Союз» на действия ГУП «Московский метрополитен» необоснованной.</w:t>
      </w:r>
    </w:p>
    <w:p>
      <w:pPr>
        <w:pStyle w:val="Style5"/>
        <w:numPr>
          <w:ilvl w:val="0"/>
          <w:numId w:val="5"/>
        </w:numPr>
        <w:widowControl w:val="0"/>
        <w:keepNext w:val="0"/>
        <w:keepLines w:val="0"/>
        <w:shd w:val="clear" w:color="auto" w:fill="auto"/>
        <w:bidi w:val="0"/>
        <w:jc w:val="left"/>
        <w:spacing w:before="0" w:after="240" w:line="322" w:lineRule="exact"/>
        <w:ind w:left="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08.02.2021 №ЕИ/6577/21.</w:t>
      </w:r>
    </w:p>
    <w:p>
      <w:pPr>
        <w:pStyle w:val="Style5"/>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096" w:val="right"/>
          <w:tab w:leader="none" w:pos="1015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5"/>
        <w:tabs>
          <w:tab w:leader="none" w:pos="8458" w:val="center"/>
          <w:tab w:leader="none" w:pos="10159"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w:t>
        <w:tab/>
        <w:t>Кутейников</w:t>
      </w:r>
    </w:p>
    <w:p>
      <w:pPr>
        <w:pStyle w:val="Style5"/>
        <w:widowControl w:val="0"/>
        <w:keepNext w:val="0"/>
        <w:keepLines w:val="0"/>
        <w:shd w:val="clear" w:color="auto" w:fill="auto"/>
        <w:bidi w:val="0"/>
        <w:jc w:val="right"/>
        <w:spacing w:before="0" w:after="1931" w:line="643" w:lineRule="exact"/>
        <w:ind w:left="0" w:right="20" w:firstLine="0"/>
      </w:pPr>
      <w:r>
        <w:rPr>
          <w:lang w:val="ru-RU" w:eastAsia="ru-RU" w:bidi="ru-RU"/>
          <w:w w:val="100"/>
          <w:spacing w:val="0"/>
          <w:color w:val="000000"/>
          <w:position w:val="0"/>
        </w:rPr>
        <w:t>Д.А. Аносов</w:t>
      </w:r>
    </w:p>
    <w:p>
      <w:pPr>
        <w:pStyle w:val="Style13"/>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footnotePr>
        <w:pos w:val="pageBottom"/>
        <w:numFmt w:val="decimal"/>
        <w:numRestart w:val="continuous"/>
      </w:footnotePr>
      <w:type w:val="continuous"/>
      <w:pgSz w:w="11906" w:h="16838"/>
      <w:pgMar w:top="1286" w:left="849" w:right="842" w:bottom="12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4">
    <w:name w:val="Основной текст (4)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4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24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15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