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41" w:left="2664" w:right="8276" w:bottom="470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5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170" w:wrap="around" w:vAnchor="text" w:hAnchor="margin" w:x="1684" w:y="325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4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7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6" w:line="234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0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8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0" w:line="190" w:lineRule="exact"/>
        <w:ind w:left="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15.02.2021 №04-03-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656016, г.Барнаул, ул.Власихинская, д.49/1 оф.141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bolshunovl </w:t>
      </w:r>
      <w:r>
        <w:fldChar w:fldCharType="begin"/>
      </w:r>
      <w:r>
        <w:rPr>
          <w:color w:val="000000"/>
        </w:rPr>
        <w:instrText> HYPERLINK "mailto:990@bk.ru"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муниципального района «Хилокский район»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673204, Забайкальский край,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Хилокский р-н, г.Хилок, Ленина, 9 </w:t>
      </w:r>
      <w:r>
        <w:fldChar w:fldCharType="begin"/>
      </w:r>
      <w:r>
        <w:rPr>
          <w:color w:val="000000"/>
        </w:rPr>
        <w:instrText> HYPERLINK "mailto:zakupki_hiloksky@mail.ru"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zakupki_hiloksky@mail.ru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426" w:left="1317" w:right="741" w:bottom="455" w:header="0" w:footer="3" w:gutter="0"/>
          <w:rtlGutter w:val="0"/>
          <w:cols w:num="2" w:space="720" w:equalWidth="0">
            <w:col w:w="3784" w:space="1026"/>
            <w:col w:w="503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Чита, ул. Амурская, 13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</w:t>
      </w:r>
      <w:r>
        <w:rPr>
          <w:rStyle w:val="Hyperlink"/>
        </w:rPr>
        <w:t>e-zab.ru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75"/>
        <w:ind w:left="1780" w:right="2000" w:firstLine="2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рассмотрению жалоб № 075/06/34-53/2021 о нарушении законодательства при осуществлении закупки</w:t>
      </w:r>
    </w:p>
    <w:p>
      <w:pPr>
        <w:pStyle w:val="Style11"/>
        <w:tabs>
          <w:tab w:leader="none" w:pos="7246" w:val="right"/>
          <w:tab w:leader="none" w:pos="7866" w:val="right"/>
          <w:tab w:leader="none" w:pos="8009" w:val="left"/>
        </w:tabs>
        <w:widowControl w:val="0"/>
        <w:keepNext w:val="0"/>
        <w:keepLines w:val="0"/>
        <w:shd w:val="clear" w:color="auto" w:fill="auto"/>
        <w:bidi w:val="0"/>
        <w:spacing w:before="0" w:after="211" w:line="230" w:lineRule="exact"/>
        <w:ind w:left="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 февраля 2021 года</w:t>
        <w:tab/>
        <w:t>г.</w:t>
        <w:tab/>
        <w:t>Чита,</w:t>
        <w:tab/>
        <w:t>ул. Лермонтова, 14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УФАС России; членов комиссии: Уваровой В.В. ведущего специалиста-эксперта отдела контроля закупок Забайкальского УФАС России, Московской И.Т. ведущего специалиста- эксперта отдела контроля закупок Забайкальского УФАС России,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поступившую 04.02.2021 жалобу ООО «ТехСтройПартнер»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Администрацией муниципального района «Хилокский район», уполномоченным учреждением - ГКУ «Забайкальский центр государственных закупок» при проведении электронного аукциона «Ремонт моста через р. Блудная в с. Линево - Озеро, Хилокского района (198-ЭА)» (реестровый № </w:t>
      </w:r>
      <w:r>
        <w:rPr>
          <w:rStyle w:val="CharStyle13"/>
        </w:rPr>
        <w:t>0891200000621000177)</w:t>
      </w:r>
      <w:r>
        <w:rPr>
          <w:lang w:val="ru-RU" w:eastAsia="ru-RU" w:bidi="ru-RU"/>
          <w:w w:val="100"/>
          <w:spacing w:val="0"/>
          <w:color w:val="000000"/>
          <w:position w:val="0"/>
        </w:rPr>
        <w:t>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заявителя - о времени и месте рассмотрения жалобы уведомлен надлежащим образом,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заказчика - Яковлева А.Л.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уполномоченного учреждения - Здорова А.В. (доверенность от 14.07.2020 №5),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8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заседание комиссии проводилось посредством видеоконференцсвязи,</w:t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211" w:line="230" w:lineRule="exact"/>
        <w:ind w:left="1780" w:right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11"/>
        <w:numPr>
          <w:ilvl w:val="0"/>
          <w:numId w:val="1"/>
        </w:numPr>
        <w:tabs>
          <w:tab w:leader="none" w:pos="2190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адрес Забайкальского УФАС России поступила жалоба ООО «ТехСтройПартнер»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Администрацией муниципального района «Хилокский район», уполномоченным учреждением - ГКУ «Забайкальский центр государственных закупок» при проведении электронного аукциона «Ремонт моста через р. Блудная в с. Линево - Озеро,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Хилокского района (198-ЭА)» (реестровый № </w:t>
      </w:r>
      <w:r>
        <w:rPr>
          <w:rStyle w:val="CharStyle13"/>
        </w:rPr>
        <w:t>0891200000621000177)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аукционная документация утверждена с нарушениями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 провести внеплановую проверку, выдать предписание об устранении нарушений законодательства о контрактной системе, признать жалобу обоснованной.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пояснила, что согласна с доводами указанными в жалобе. Нарушения, указанные в жалобе признает.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учреждении направило письменные пояснения из которых следует, что в соответствии с подпунктом 1 пункта 1.2. Постановления Правительства Забайкальского края от 17.12.2013 № 544 (ред. от 17.11.2015) «О некоторых вопросах реализации Федерального закона «О контрактной системе в сфере закупок товаров, работ, услуг для обеспечения государственных и муниципальных нужд», ГКУ «Забайкальский центр государственных закупок» не наделено полномочиями на определение поставщиков в части описания объекта закупки, определений условий контракта и обоснования начальной (максимальной) цены контракта.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1"/>
        <w:numPr>
          <w:ilvl w:val="0"/>
          <w:numId w:val="3"/>
        </w:numPr>
        <w:tabs>
          <w:tab w:leader="none" w:pos="1993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учреждением на официальном сайте ЕИС размещены извещение и аукционная документация «Ремонт моста через р. Блудная в с. Линево - Озеро, Хилокского района (198-ЭА)» (реестровый № </w:t>
      </w:r>
      <w:r>
        <w:rPr>
          <w:rStyle w:val="CharStyle13"/>
        </w:rPr>
        <w:t>0891200000621000177)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3 475 195,00 рублей.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закупке подана 1 заявка, которая признана соответствующей Закону о контрактной системе и аукционной документации.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заслушав пояснения представителей: заказчика, представителя уполномоченного учреждения комиссия Забайкальского УФАС России приходит к следующим выводам.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8 статьи 34 Закона о контрактной системе штрафы начисляются за неисполнение или ненадлежащее исполнение поставщиком (подрядчиком, исполнителем) обязательств, предусмотренных контрактом, за исключением просрочки исполнения поставщиком ' (подрядчиком, исполнителем)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РФ от 02.08.2019 №1011 внесены изменения в Постановление Правительства РФ от 30.08.2017 №1042. В соответствии с изменениями в пункте 11 Правил определения размера штрафа, слова «начисленной неустойки (штрафов, пени)» заменены словами «начисленных штрафов».</w:t>
      </w:r>
    </w:p>
    <w:p>
      <w:pPr>
        <w:pStyle w:val="Style11"/>
        <w:numPr>
          <w:ilvl w:val="0"/>
          <w:numId w:val="5"/>
        </w:numPr>
        <w:tabs>
          <w:tab w:leader="none" w:pos="1017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6.5 б.б.проекта Контракта установлено:</w:t>
      </w:r>
    </w:p>
    <w:p>
      <w:pPr>
        <w:pStyle w:val="Style11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Общая сумма начисленной неустойки штрафов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pStyle w:val="Style11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Общая сумма начисленной неустойки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 Неустойка (пеня, штраф) уплачиваются Поставщиком в пятидневный срок после получения соответствующего требования от Заказчика о выплате неустойки, в котором, указывается основания применения и порядок расчета суммы взыскиваемой неустойки на конкретную дату, сумма неустойки по настоящему Контракту.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заказчик, при утверждении проекта муниципального контракта использовал словосочетание «начисленной неустойки штрафов» которое не предусмотрено действующей редакцией Постановления Правительства РФ от 30.08.2017 №1042, чем нарушил часть 8 статьи 34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04" w:line="240" w:lineRule="exact"/>
        <w:ind w:left="47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11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6" w:line="23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Жалобу ООО «Техстройпартнер» признать обоснованной.</w:t>
      </w:r>
    </w:p>
    <w:p>
      <w:pPr>
        <w:pStyle w:val="Style11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признать нарушившим часть 8 статьи 34 Закона о контрактной системе.</w:t>
      </w:r>
    </w:p>
    <w:p>
      <w:pPr>
        <w:pStyle w:val="Style11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1080" w:right="2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предписание об устранении выявленных нарушений Закона о контрактной системе.</w:t>
      </w:r>
    </w:p>
    <w:p>
      <w:pPr>
        <w:pStyle w:val="Style11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31" w:line="277" w:lineRule="exact"/>
        <w:ind w:left="1080" w:right="2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должностному лицу Забайкальского материалы по делу для рассмотрения вопроса о возбуждении дел об административных правонарушениях.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86" w:line="288" w:lineRule="exact"/>
        <w:ind w:left="0" w:right="2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9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1108" w:left="702" w:right="673" w:bottom="51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95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470" w:left="5593" w:right="5593" w:bottom="84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04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28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5"/>
      <w:numFmt w:val="decimal"/>
      <w:lvlText w:val="6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paragraph" w:customStyle="1" w:styleId="Style3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180" w:line="227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3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after="240" w:line="274" w:lineRule="exact"/>
      <w:ind w:firstLine="720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both"/>
      <w:spacing w:before="240" w:after="300" w:line="0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outlineLvl w:val="0"/>
      <w:spacing w:before="240" w:after="300" w:line="0" w:lineRule="exact"/>
      <w:ind w:firstLine="2800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