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303" w:line="260" w:lineRule="exact"/>
        <w:ind w:left="1160" w:right="0" w:firstLine="0"/>
      </w:pPr>
      <w:r>
        <w:rPr>
          <w:lang w:val="ru-RU" w:eastAsia="ru-RU" w:bidi="ru-RU"/>
          <w:w w:val="100"/>
          <w:spacing w:val="0"/>
          <w:color w:val="000000"/>
          <w:position w:val="0"/>
        </w:rPr>
        <w:t>ФГБОУ «ДО ФДЭБЦ»</w:t>
      </w:r>
    </w:p>
    <w:p>
      <w:pPr>
        <w:pStyle w:val="Style5"/>
        <w:widowControl w:val="0"/>
        <w:keepNext w:val="0"/>
        <w:keepLines w:val="0"/>
        <w:shd w:val="clear" w:color="auto" w:fill="auto"/>
        <w:bidi w:val="0"/>
        <w:spacing w:before="0" w:after="349" w:line="322" w:lineRule="exact"/>
        <w:ind w:left="1160" w:right="20" w:firstLine="0"/>
      </w:pPr>
      <w:r>
        <w:rPr>
          <w:lang w:val="ru-RU" w:eastAsia="ru-RU" w:bidi="ru-RU"/>
          <w:w w:val="100"/>
          <w:spacing w:val="0"/>
          <w:color w:val="000000"/>
          <w:position w:val="0"/>
        </w:rPr>
        <w:t>пр. Ростокинский, д. 3, г. Москва, 107014</w:t>
      </w:r>
    </w:p>
    <w:p>
      <w:pPr>
        <w:pStyle w:val="Style5"/>
        <w:widowControl w:val="0"/>
        <w:keepNext w:val="0"/>
        <w:keepLines w:val="0"/>
        <w:shd w:val="clear" w:color="auto" w:fill="auto"/>
        <w:bidi w:val="0"/>
        <w:spacing w:before="0" w:after="307" w:line="260" w:lineRule="exact"/>
        <w:ind w:left="1160" w:right="0" w:firstLine="0"/>
      </w:pPr>
      <w:r>
        <w:rPr>
          <w:lang w:val="ru-RU" w:eastAsia="ru-RU" w:bidi="ru-RU"/>
          <w:w w:val="100"/>
          <w:spacing w:val="0"/>
          <w:color w:val="000000"/>
          <w:position w:val="0"/>
        </w:rPr>
        <w:t>ООО «Инженерные Решения»</w:t>
      </w:r>
    </w:p>
    <w:p>
      <w:pPr>
        <w:pStyle w:val="Style5"/>
        <w:widowControl w:val="0"/>
        <w:keepNext w:val="0"/>
        <w:keepLines w:val="0"/>
        <w:shd w:val="clear" w:color="auto" w:fill="auto"/>
        <w:bidi w:val="0"/>
        <w:spacing w:before="0" w:after="1736" w:line="317" w:lineRule="exact"/>
        <w:ind w:left="1160" w:right="20" w:firstLine="0"/>
      </w:pPr>
      <w:r>
        <w:rPr>
          <w:lang w:val="ru-RU" w:eastAsia="ru-RU" w:bidi="ru-RU"/>
          <w:w w:val="100"/>
          <w:spacing w:val="0"/>
          <w:color w:val="000000"/>
          <w:position w:val="0"/>
        </w:rPr>
        <w:t>ул. Благодатная, д. 63, к. 1, лит. Д, пом. 103, эт. 1, г. Санкт-Петербург, 196105</w:t>
      </w:r>
    </w:p>
    <w:p>
      <w:pPr>
        <w:pStyle w:val="Style7"/>
        <w:tabs>
          <w:tab w:leader="none" w:pos="8953" w:val="left"/>
        </w:tabs>
        <w:widowControl w:val="0"/>
        <w:keepNext w:val="0"/>
        <w:keepLines w:val="0"/>
        <w:shd w:val="clear" w:color="auto" w:fill="auto"/>
        <w:bidi w:val="0"/>
        <w:jc w:val="left"/>
        <w:spacing w:before="0" w:after="0"/>
        <w:ind w:left="20" w:right="20"/>
      </w:pPr>
      <w:r>
        <w:rPr>
          <w:lang w:val="ru-RU" w:eastAsia="ru-RU" w:bidi="ru-RU"/>
          <w:w w:val="100"/>
          <w:spacing w:val="0"/>
          <w:color w:val="000000"/>
          <w:position w:val="0"/>
        </w:rPr>
        <w:t>РЕШЕНИЕ по делу № 077/06/106-2049/2021 о нарушении законодательства о контрактной системе 10.02.2021</w:t>
        <w:tab/>
        <w:t>г. Москва</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Председательствующего: 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А.С. Спиряковой,</w:t>
      </w:r>
    </w:p>
    <w:p>
      <w:pPr>
        <w:pStyle w:val="Style5"/>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Члена Комиссии:</w:t>
      </w:r>
    </w:p>
    <w:p>
      <w:pPr>
        <w:pStyle w:val="Style5"/>
        <w:tabs>
          <w:tab w:leader="none" w:pos="4669" w:val="right"/>
          <w:tab w:leader="none" w:pos="10195" w:val="right"/>
        </w:tabs>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Специалиста 1</w:t>
        <w:tab/>
        <w:t>разряда отдела обжалования</w:t>
        <w:tab/>
        <w:t>государственных закупок</w:t>
      </w:r>
    </w:p>
    <w:p>
      <w:pPr>
        <w:pStyle w:val="Style5"/>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А.А. Матюшенко,</w:t>
      </w:r>
    </w:p>
    <w:p>
      <w:pPr>
        <w:pStyle w:val="Style5"/>
        <w:tabs>
          <w:tab w:leader="none" w:pos="484" w:val="lef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рассмотрение жалобы проводилось дистанционно (посредством конференц</w:t>
        <w:softHyphen/>
        <w:t>связи) в целях исполнения Указа Мэра Москвы от 25.09.2020 №</w:t>
        <w:tab/>
        <w:t>92-УМ «О внесении изменений в правовые акты города Москвы»</w:t>
      </w:r>
    </w:p>
    <w:p>
      <w:pPr>
        <w:pStyle w:val="Style5"/>
        <w:tabs>
          <w:tab w:leader="none" w:pos="484" w:val="left"/>
          <w:tab w:leader="none" w:pos="4842" w:val="left"/>
          <w:tab w:leader="none" w:pos="6258" w:val="lef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и</w:t>
        <w:tab/>
        <w:t>предупреждения распространения</w:t>
        <w:tab/>
        <w:t>в городе</w:t>
        <w:tab/>
        <w:t>Москве инфекции, вызванной</w:t>
      </w:r>
    </w:p>
    <w:p>
      <w:pPr>
        <w:pStyle w:val="Style5"/>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 xml:space="preserve">коронавирусом </w:t>
      </w:r>
      <w:r>
        <w:rPr>
          <w:lang w:val="en-US" w:eastAsia="en-US" w:bidi="en-US"/>
          <w:w w:val="100"/>
          <w:spacing w:val="0"/>
          <w:color w:val="000000"/>
          <w:position w:val="0"/>
        </w:rPr>
        <w:t>2019-nCoV.,</w:t>
      </w:r>
    </w:p>
    <w:p>
      <w:pPr>
        <w:pStyle w:val="Style5"/>
        <w:tabs>
          <w:tab w:leader="none" w:pos="4855" w:val="left"/>
          <w:tab w:leader="none" w:pos="4722" w:val="left"/>
          <w:tab w:leader="none" w:pos="6128" w:val="left"/>
          <w:tab w:leader="none" w:pos="9441" w:val="right"/>
          <w:tab w:leader="none" w:pos="10195" w:val="right"/>
        </w:tabs>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представители</w:t>
        <w:tab/>
        <w:t>ФГБОУ «ДО</w:t>
        <w:tab/>
        <w:t>ФДЭБЦ»:</w:t>
        <w:tab/>
        <w:t>Н.О.</w:t>
        <w:tab/>
        <w:t>Добров (дов. №</w:t>
        <w:tab/>
        <w:t>534</w:t>
      </w:r>
    </w:p>
    <w:p>
      <w:pPr>
        <w:pStyle w:val="Style5"/>
        <w:tabs>
          <w:tab w:leader="none" w:pos="484" w:val="left"/>
          <w:tab w:leader="none" w:pos="4669" w:val="right"/>
          <w:tab w:leader="none" w:pos="4881" w:val="left"/>
          <w:tab w:leader="none" w:pos="6177" w:val="left"/>
          <w:tab w:leader="none" w:pos="10195" w:val="right"/>
        </w:tabs>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от</w:t>
        <w:tab/>
        <w:t>05.02.2021), ООО</w:t>
        <w:tab/>
        <w:t>«Инженерные</w:t>
        <w:tab/>
        <w:t>Решения»:</w:t>
        <w:tab/>
        <w:t>М.В.</w:t>
        <w:tab/>
        <w:t>Гаврилкина (дов. №1 от</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08.02.2021) участвовали в заседании Комиссии Управления посредством конференц</w:t>
        <w:softHyphen/>
        <w:t>связи,</w:t>
      </w:r>
    </w:p>
    <w:p>
      <w:pPr>
        <w:pStyle w:val="Style3"/>
        <w:framePr w:w="1349" w:h="427" w:wrap="around" w:vAnchor="text" w:hAnchor="margin" w:x="351" w:y="1393"/>
        <w:widowControl w:val="0"/>
        <w:keepNext w:val="0"/>
        <w:keepLines w:val="0"/>
        <w:shd w:val="clear" w:color="auto" w:fill="auto"/>
        <w:bidi w:val="0"/>
        <w:jc w:val="left"/>
        <w:spacing w:before="0" w:after="0" w:line="240" w:lineRule="auto"/>
        <w:ind w:left="0" w:right="0" w:firstLine="0"/>
      </w:pPr>
      <w:r>
        <w:rPr>
          <w:w w:val="100"/>
          <w:spacing w:val="0"/>
          <w:color w:val="000000"/>
          <w:position w:val="0"/>
        </w:rPr>
        <w:t>001139140263</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рассмотрев жалобу ООО «Инженерные Решения»(далее — Заявитель) на действия ФГБОУ «ДО ФДЭБЦ» (далее — Заказчик) при проведении электронного аукциона на право заключения государственного контракта на закупку в 2020 году</w:t>
      </w:r>
      <w:r>
        <w:br w:type="page"/>
      </w:r>
    </w:p>
    <w:p>
      <w:pPr>
        <w:pStyle w:val="Style5"/>
        <w:widowControl w:val="0"/>
        <w:keepNext w:val="0"/>
        <w:keepLines w:val="0"/>
        <w:shd w:val="clear" w:color="auto" w:fill="auto"/>
        <w:bidi w:val="0"/>
        <w:spacing w:before="0" w:after="349" w:line="322" w:lineRule="exact"/>
        <w:ind w:left="20" w:right="20" w:firstLine="0"/>
      </w:pPr>
      <w:r>
        <w:rPr>
          <w:lang w:val="ru-RU" w:eastAsia="ru-RU" w:bidi="ru-RU"/>
          <w:w w:val="100"/>
          <w:spacing w:val="0"/>
          <w:color w:val="000000"/>
          <w:position w:val="0"/>
        </w:rPr>
        <w:t>расходных материалов для 3D принтеров для нужд ФГБОУ ДО ФДЭБЦ (Закупка № 0373400001120000008)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w:t>
      </w:r>
      <w:r>
        <w:rPr>
          <w:rStyle w:val="CharStyle9"/>
        </w:rPr>
        <w:t>ици</w:t>
      </w:r>
      <w:r>
        <w:rPr>
          <w:lang w:val="ru-RU" w:eastAsia="ru-RU" w:bidi="ru-RU"/>
          <w:w w:val="100"/>
          <w:spacing w:val="0"/>
          <w:color w:val="000000"/>
          <w:position w:val="0"/>
        </w:rPr>
        <w:t>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spacing w:before="0" w:after="304"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326"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вышеуказанного электронного аукциона.</w:t>
      </w:r>
    </w:p>
    <w:p>
      <w:pPr>
        <w:pStyle w:val="Style5"/>
        <w:widowControl w:val="0"/>
        <w:keepNext w:val="0"/>
        <w:keepLines w:val="0"/>
        <w:shd w:val="clear" w:color="auto" w:fill="auto"/>
        <w:bidi w:val="0"/>
        <w:spacing w:before="0" w:after="0" w:line="326" w:lineRule="exact"/>
        <w:ind w:left="20" w:right="20" w:firstLine="680"/>
      </w:pPr>
      <w:r>
        <w:rPr>
          <w:lang w:val="ru-RU" w:eastAsia="ru-RU" w:bidi="ru-RU"/>
          <w:w w:val="100"/>
          <w:spacing w:val="0"/>
          <w:color w:val="000000"/>
          <w:position w:val="0"/>
        </w:rPr>
        <w:t>Заявитель обжалует действия аукционной комиссии Заказчика, выразившиеся в отказе в допуске Заявителю к участию в вышеуказанном аукционе.</w:t>
      </w:r>
    </w:p>
    <w:p>
      <w:pPr>
        <w:pStyle w:val="Style5"/>
        <w:widowControl w:val="0"/>
        <w:keepNext w:val="0"/>
        <w:keepLines w:val="0"/>
        <w:shd w:val="clear" w:color="auto" w:fill="auto"/>
        <w:bidi w:val="0"/>
        <w:spacing w:before="0" w:after="0" w:line="326"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 ЕИ/6414/21 от 05.02.2021.</w:t>
      </w:r>
    </w:p>
    <w:p>
      <w:pPr>
        <w:pStyle w:val="Style5"/>
        <w:tabs>
          <w:tab w:leader="none" w:pos="4873" w:val="center"/>
          <w:tab w:leader="none" w:pos="7753" w:val="center"/>
          <w:tab w:leader="none" w:pos="10206" w:val="right"/>
        </w:tabs>
        <w:widowControl w:val="0"/>
        <w:keepNext w:val="0"/>
        <w:keepLines w:val="0"/>
        <w:shd w:val="clear" w:color="auto" w:fill="auto"/>
        <w:bidi w:val="0"/>
        <w:spacing w:before="0" w:after="0" w:line="326" w:lineRule="exact"/>
        <w:ind w:left="20" w:right="20" w:firstLine="680"/>
      </w:pPr>
      <w:r>
        <w:rPr>
          <w:lang w:val="ru-RU" w:eastAsia="ru-RU" w:bidi="ru-RU"/>
          <w:w w:val="100"/>
          <w:spacing w:val="0"/>
          <w:color w:val="000000"/>
          <w:position w:val="0"/>
        </w:rPr>
        <w:t>Согласно протоколу рассмотрения заявок на участие в электронном аукционе от 29.01.2021</w:t>
        <w:tab/>
        <w:t>№0373400001120000008-3</w:t>
        <w:tab/>
        <w:t>заявка</w:t>
        <w:tab/>
        <w:t>Заявителя</w:t>
      </w:r>
    </w:p>
    <w:p>
      <w:pPr>
        <w:pStyle w:val="Style5"/>
        <w:widowControl w:val="0"/>
        <w:keepNext w:val="0"/>
        <w:keepLines w:val="0"/>
        <w:shd w:val="clear" w:color="auto" w:fill="auto"/>
        <w:bidi w:val="0"/>
        <w:spacing w:before="0" w:after="0" w:line="326" w:lineRule="exact"/>
        <w:ind w:left="20" w:right="20" w:firstLine="0"/>
      </w:pPr>
      <w:r>
        <w:rPr>
          <w:lang w:val="ru-RU" w:eastAsia="ru-RU" w:bidi="ru-RU"/>
          <w:w w:val="100"/>
          <w:spacing w:val="0"/>
          <w:color w:val="000000"/>
          <w:position w:val="0"/>
        </w:rPr>
        <w:t>с идентификационным номером 216 признана не соответствующей требованиям аукционной документации на следующем основании: «на основании п.2 ч.4 ст.67 Закона 44-ФЗ (Несоответствие информации, предусмотренной ч. 3 ст. 66 Федерального закона № 44-ФЗ, требованиям документации об аукционе (Отказ по п. 2 ч. 4 ст. 67 Федерального закона № 44-ФЗ), а именно: участником представлены конкретные показатели товара, не соответствующие требованиям, установленным документацией (Приложением 1 к Техническому заданию (Форма 2)):</w:t>
      </w:r>
    </w:p>
    <w:p>
      <w:pPr>
        <w:pStyle w:val="Style5"/>
        <w:widowControl w:val="0"/>
        <w:keepNext w:val="0"/>
        <w:keepLines w:val="0"/>
        <w:shd w:val="clear" w:color="auto" w:fill="auto"/>
        <w:bidi w:val="0"/>
        <w:spacing w:before="0" w:after="0" w:line="326" w:lineRule="exact"/>
        <w:ind w:left="20" w:right="20" w:firstLine="680"/>
      </w:pPr>
      <w:r>
        <w:rPr>
          <w:lang w:val="ru-RU" w:eastAsia="ru-RU" w:bidi="ru-RU"/>
          <w:w w:val="100"/>
          <w:spacing w:val="0"/>
          <w:color w:val="000000"/>
          <w:position w:val="0"/>
        </w:rPr>
        <w:t>- п.1 «Набор оргстекла для принтера», установлено, что толщина должна быть От 1 до 3, 5 мм», участник закупки указал: толщина «1,5 мм» (В соответствии с инструкцией по заполнению требований Заказчика к характеристикам объекта закупки: «Десятичные знаки отделяются точкой», «В случае, если значения или диапазоны значений параметра указаны с использованием символа «запятая» - участнику закупки необходимо предоставить все значения показателя или все диапазоны значений, указанных через данный символ», то есть Заказчику требовались оргстекла толщиной «от 1 до 3 мм (не включая крайние значения)» и 5 мм»)».</w:t>
      </w:r>
    </w:p>
    <w:p>
      <w:pPr>
        <w:pStyle w:val="Style5"/>
        <w:widowControl w:val="0"/>
        <w:keepNext w:val="0"/>
        <w:keepLines w:val="0"/>
        <w:shd w:val="clear" w:color="auto" w:fill="auto"/>
        <w:bidi w:val="0"/>
        <w:spacing w:before="0" w:after="0" w:line="326" w:lineRule="exact"/>
        <w:ind w:left="20" w:right="0" w:firstLine="680"/>
      </w:pPr>
      <w:r>
        <w:rPr>
          <w:lang w:val="ru-RU" w:eastAsia="ru-RU" w:bidi="ru-RU"/>
          <w:w w:val="100"/>
          <w:spacing w:val="0"/>
          <w:color w:val="000000"/>
          <w:position w:val="0"/>
        </w:rPr>
        <w:t>В соответствии с п.1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ст.33 Закона о контрактной системе.</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соответствии п.2 ч.1 ст.64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ч.3-6 ст.66 Закона о контрактной системе и инструкцию по ее заполнению.</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соответствии с п.1 ч.1 ст.33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силу ч.2 ст.33 Закона о контрактной системе документация о закупке в соответствии с требованиями, указанными в ч.1 ст.33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Техническим заданием аукционной документации установлены требования к характеристикам необходимого товаров, в том числе по п.1 «Набор оргстекла для принтера: «толщина: От 1 до 3, 5 мм».</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Также инструкцией по предоставлению сведений в первой части заявки на участие в электронном аукционе о конкретных показателях установлено следующее:</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случае, если значения или диапазоны значений параметра указаны с использованием символа «запятая», союза «и», - участнику закупки необходимо предоставить все значения показателя или все диапазоны значений, указанных через данные символ, союз.</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случае если требуемое значение параметра товара сопровождается словами: «от» и «до», «от» или «до», то участнику закупки необходимо предоставить конкретный(-ые) показатель (-и) из данного диапазона не включая крайние значения, (предлог «от» означает что, участнику следует предоставить в заявке конкретный показатель, более указанного значения, предлог «до» означает что, участнику следует предоставить в заявке конкретный показатель, менее указанного значения).</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В случае, если требуемое значение параметра сопровождается знаком * (звездочка), в том числе значение, включенное в диапазон значений, то участник вправе указать крайнее значение требуемого параметра. При этом, не допускается указание крайнего значения параметра, не сопровождающегося знаком * (звездочка).</w:t>
      </w:r>
    </w:p>
    <w:p>
      <w:pPr>
        <w:pStyle w:val="Style5"/>
        <w:widowControl w:val="0"/>
        <w:keepNext w:val="0"/>
        <w:keepLines w:val="0"/>
        <w:shd w:val="clear" w:color="auto" w:fill="auto"/>
        <w:bidi w:val="0"/>
        <w:spacing w:before="0" w:after="0" w:line="322" w:lineRule="exact"/>
        <w:ind w:left="0" w:right="0" w:firstLine="700"/>
      </w:pPr>
      <w:r>
        <w:rPr>
          <w:lang w:val="ru-RU" w:eastAsia="ru-RU" w:bidi="ru-RU"/>
          <w:w w:val="100"/>
          <w:spacing w:val="0"/>
          <w:color w:val="000000"/>
          <w:position w:val="0"/>
        </w:rPr>
        <w:t>Десятичные знаки отделяются точкой.</w:t>
      </w:r>
    </w:p>
    <w:p>
      <w:pPr>
        <w:pStyle w:val="Style5"/>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Согласно п.2 ч.3 ст.66 Закона о контрактной системе первая часть заявки на участие в электронном аукционе, за исключением случая, предусмотренного частью 3.1 статьи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Комиссией Управления установлено, что в составе первой части заявки на участие в аукционе участник закупки выразил согласие на поставку товара на условиях аукционной документации, а также представил конкретные сведения о представляемых товаров в том числе по п.1 «Набор оргстекла для принтера: «толщина: 1.5 мм».</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силу ч.1 ст.67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ч.9 ст.105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Заявителя пояснил, что параметр «толщина: 1.5 мм» по п.1 «Набор оргстекла для принтера» был указан таким образом, так как Заявитель воспринял диапазон параметра как «толщина: От 1 до 3.5 мм» ввиду визуальной схожести.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в силу инструкции десятичные знаки отделяются точкой, ввиду чего, по п.1 «Набор оргстекла для принтера» по параметру «толщина» участникам закупки требовалось представить два показателя, а именно: «от 1 до 3 мм» и «5 мм», что напрямую следует из установленного требования, поскольку между символом «,» (запятая) и «5» стоит пробел, что указывает на невозможность трактования установленного требования как единого требования «три целых, пять десятых», однако в составе заявки Заявителя информация об оргстеклах 5 мм не представлена, ввиду чего заявка Заявителя была отклонена.</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ч.4 ст. 67 Закона о контрактной системе участник электронного аукциона не допускается к участию в нем в случае:</w:t>
      </w:r>
    </w:p>
    <w:p>
      <w:pPr>
        <w:pStyle w:val="Style5"/>
        <w:numPr>
          <w:ilvl w:val="0"/>
          <w:numId w:val="1"/>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непредставления информации, предусмотренной ч.3 ст. 66 Закона о контрактной системе, или предоставления недостоверной информации;</w:t>
      </w:r>
    </w:p>
    <w:p>
      <w:pPr>
        <w:pStyle w:val="Style5"/>
        <w:numPr>
          <w:ilvl w:val="0"/>
          <w:numId w:val="1"/>
        </w:numPr>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 xml:space="preserve"> несоответствия информации, предусмотренной ч.3 ст. 66 Закона о</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контрактной системе, требованиям документации о таком аукционе.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соответствие с ч.5 ст.67 Закона о контрактной системе отказ в допуске к участию в электронном аукционе по основаниям, не предусмотренным ч.4 ст. 67 Закона о контрактной системе, не допускается.</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Таким образом, Комиссия Управления приходит к выводу, что у аукционной комиссии Заказчика имелись основания для отказа в допуске Заявителю к участию в аукционе, и решение аукционной комиссии Заказчика в части отказа в допуске Заявителю к участию в аукционе является правомерным.</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заседании Комиссией Управления также установлено, что Заявитель обжалует положения аукционной документации.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части 4 статьи 105 Закона о контрактной системе жалоба на положения документации о таком аукционе может быть подана участником закупки до окончания срока подачи заявок на участие в таком аукционе.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извещением о проведении аукциона дата и время окончания подачи заявок 27.01.2021 в 10:00, в свою очередь жалоба Заявителя поступила в Московское УФАС России 04.02.2021, то есть после срока окончания подачи заявок на участие в аукционе.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Таким образом, обжалование положений аукционной документации возможно исключительно в судебном порядке.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Кроме того, Заявитель в своей жалобе указывает на нарушение Заказчиком положений ст.17 Федерального закона от 26.07.2006 №135-ФЗ «О защите конкуренции» (далее - Закон о защите конкуренции).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При этом жалоба Заявителя на действия Заказчика подана в Московское УФАС России в порядке главы 6 Закона о контрактной системе и рассмотрена Комиссией Управления в соответствии с требованиями Закона о контрактной системе и Административного регламента.</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При этом, следует отметить, что в рамках рассмотрения данной жалобы Комиссия Управления не вправе давать оценку действиям Заказчика в части наличия или отсутствия нарушений Закона о защите конкуренции, так как дела о нарушении антимонопольного законодательства рассматриваются в соответствии с Законом о защите конкуренции по процедуре, предусмотренной Административным регламентом ФАС по исполнению государственной функции по возбуждению и рассмотрению дел о нарушениях антимонопольного законодательства, утвержденным Приказом ФАС России от 25.05.2012 №339.</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Учитывая, что в рамках рассмотрения данной жалобы Комиссия Управления по контролю в сфере закупок не обладает полномочиями по рассмотрению жалоб и обращений в порядке, предусмотренном Законом о защите конкуренции, рассмотрение доводов жалобы в отношении нарушении ст.17 Закона о контрактной системе не может быть осуществлено.</w:t>
      </w:r>
    </w:p>
    <w:p>
      <w:pPr>
        <w:pStyle w:val="Style5"/>
        <w:widowControl w:val="0"/>
        <w:keepNext w:val="0"/>
        <w:keepLines w:val="0"/>
        <w:shd w:val="clear" w:color="auto" w:fill="auto"/>
        <w:bidi w:val="0"/>
        <w:spacing w:before="0" w:after="349" w:line="322" w:lineRule="exact"/>
        <w:ind w:left="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и Законом о контрактной системе, Комиссия Управления</w:t>
      </w:r>
    </w:p>
    <w:p>
      <w:pPr>
        <w:pStyle w:val="Style10"/>
        <w:widowControl w:val="0"/>
        <w:keepNext/>
        <w:keepLines/>
        <w:shd w:val="clear" w:color="auto" w:fill="auto"/>
        <w:bidi w:val="0"/>
        <w:spacing w:before="0" w:after="308" w:line="260" w:lineRule="exact"/>
        <w:ind w:left="20" w:right="0" w:firstLine="0"/>
      </w:pPr>
      <w:bookmarkStart w:id="1" w:name="bookmark1"/>
      <w:r>
        <w:rPr>
          <w:lang w:val="ru-RU" w:eastAsia="ru-RU" w:bidi="ru-RU"/>
          <w:w w:val="100"/>
          <w:spacing w:val="0"/>
          <w:color w:val="000000"/>
          <w:position w:val="0"/>
        </w:rPr>
        <w:t>Р Е Ш И Л А:</w:t>
      </w:r>
      <w:bookmarkEnd w:id="1"/>
    </w:p>
    <w:p>
      <w:pPr>
        <w:pStyle w:val="Style5"/>
        <w:numPr>
          <w:ilvl w:val="0"/>
          <w:numId w:val="3"/>
        </w:numPr>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 xml:space="preserve"> Признать жалобу ООО «Инженерные Решения» на действия аукционной комиссии ФГБОУ «ДО ФДЭБЦ» необоснованной.</w:t>
      </w:r>
    </w:p>
    <w:p>
      <w:pPr>
        <w:pStyle w:val="Style5"/>
        <w:numPr>
          <w:ilvl w:val="0"/>
          <w:numId w:val="3"/>
        </w:numPr>
        <w:widowControl w:val="0"/>
        <w:keepNext w:val="0"/>
        <w:keepLines w:val="0"/>
        <w:shd w:val="clear" w:color="auto" w:fill="auto"/>
        <w:bidi w:val="0"/>
        <w:spacing w:before="0" w:after="0" w:line="322" w:lineRule="exact"/>
        <w:ind w:left="0" w:right="20" w:firstLine="700"/>
      </w:pPr>
      <w:r>
        <w:rPr>
          <w:lang w:val="ru-RU" w:eastAsia="ru-RU" w:bidi="ru-RU"/>
          <w:w w:val="100"/>
          <w:spacing w:val="0"/>
          <w:color w:val="000000"/>
          <w:position w:val="0"/>
        </w:rPr>
        <w:t xml:space="preserve"> Жалобу в части обжалования положений аукционной документации оставить без рассмотрения в соответствии ч.4 ст. 105 Закона о контрактной системе.</w:t>
      </w:r>
    </w:p>
    <w:p>
      <w:pPr>
        <w:pStyle w:val="Style5"/>
        <w:numPr>
          <w:ilvl w:val="0"/>
          <w:numId w:val="3"/>
        </w:numPr>
        <w:widowControl w:val="0"/>
        <w:keepNext w:val="0"/>
        <w:keepLines w:val="0"/>
        <w:shd w:val="clear" w:color="auto" w:fill="auto"/>
        <w:bidi w:val="0"/>
        <w:spacing w:before="0" w:after="300" w:line="322" w:lineRule="exact"/>
        <w:ind w:left="0" w:right="20" w:firstLine="700"/>
      </w:pPr>
      <w:r>
        <w:rPr>
          <w:lang w:val="ru-RU" w:eastAsia="ru-RU" w:bidi="ru-RU"/>
          <w:w w:val="100"/>
          <w:spacing w:val="0"/>
          <w:color w:val="000000"/>
          <w:position w:val="0"/>
        </w:rPr>
        <w:t xml:space="preserve"> Снять ограничения на определение поставщика, наложенные письмом Московского УФАС России № ЕИ/6414/21 от 05.02.2021.</w:t>
      </w:r>
    </w:p>
    <w:p>
      <w:pPr>
        <w:pStyle w:val="Style5"/>
        <w:widowControl w:val="0"/>
        <w:keepNext w:val="0"/>
        <w:keepLines w:val="0"/>
        <w:shd w:val="clear" w:color="auto" w:fill="auto"/>
        <w:bidi w:val="0"/>
        <w:spacing w:before="0" w:after="349" w:line="322" w:lineRule="exact"/>
        <w:ind w:left="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установленным гл. 24 АПК РФ.</w:t>
      </w:r>
    </w:p>
    <w:p>
      <w:pPr>
        <w:pStyle w:val="Style5"/>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Председательствующий:</w:t>
      </w:r>
    </w:p>
    <w:p>
      <w:pPr>
        <w:pStyle w:val="Style5"/>
        <w:tabs>
          <w:tab w:leader="none" w:pos="8844" w:val="right"/>
          <w:tab w:leader="none" w:pos="10154" w:val="right"/>
        </w:tabs>
        <w:widowControl w:val="0"/>
        <w:keepNext w:val="0"/>
        <w:keepLines w:val="0"/>
        <w:shd w:val="clear" w:color="auto" w:fill="auto"/>
        <w:bidi w:val="0"/>
        <w:spacing w:before="0" w:after="0" w:line="562"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10154" w:val="right"/>
          <w:tab w:leader="none" w:pos="10133" w:val="right"/>
        </w:tabs>
        <w:widowControl w:val="0"/>
        <w:keepNext w:val="0"/>
        <w:keepLines w:val="0"/>
        <w:shd w:val="clear" w:color="auto" w:fill="auto"/>
        <w:bidi w:val="0"/>
        <w:spacing w:before="0" w:after="0" w:line="562" w:lineRule="exact"/>
        <w:ind w:left="0" w:right="0" w:firstLine="0"/>
      </w:pPr>
      <w:r>
        <w:rPr>
          <w:lang w:val="ru-RU" w:eastAsia="ru-RU" w:bidi="ru-RU"/>
          <w:w w:val="100"/>
          <w:spacing w:val="0"/>
          <w:color w:val="000000"/>
          <w:position w:val="0"/>
        </w:rPr>
        <w:t>Заместитель председателя Комиссии:</w:t>
        <w:tab/>
        <w:t>А.С.</w:t>
        <w:tab/>
        <w:t>Спирякова</w:t>
      </w:r>
    </w:p>
    <w:p>
      <w:pPr>
        <w:pStyle w:val="Style5"/>
        <w:tabs>
          <w:tab w:leader="none" w:pos="8640" w:val="right"/>
          <w:tab w:leader="none" w:pos="10154" w:val="right"/>
        </w:tabs>
        <w:widowControl w:val="0"/>
        <w:keepNext w:val="0"/>
        <w:keepLines w:val="0"/>
        <w:shd w:val="clear" w:color="auto" w:fill="auto"/>
        <w:bidi w:val="0"/>
        <w:spacing w:before="0" w:after="4189" w:line="562" w:lineRule="exact"/>
        <w:ind w:left="0" w:right="0" w:firstLine="0"/>
      </w:pPr>
      <w:r>
        <w:rPr>
          <w:lang w:val="ru-RU" w:eastAsia="ru-RU" w:bidi="ru-RU"/>
          <w:w w:val="100"/>
          <w:spacing w:val="0"/>
          <w:color w:val="000000"/>
          <w:position w:val="0"/>
        </w:rPr>
        <w:t>Член Комиссии:</w:t>
        <w:tab/>
        <w:t>А.А.</w:t>
        <w:tab/>
        <w:t>Матюшенко</w:t>
      </w:r>
    </w:p>
    <w:p>
      <w:pPr>
        <w:pStyle w:val="Style12"/>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 xml:space="preserve">Исп. Матюшенко А.А., </w:t>
      </w:r>
      <w:r>
        <w:fldChar w:fldCharType="begin"/>
      </w:r>
      <w:r>
        <w:rPr>
          <w:color w:val="000000"/>
        </w:rPr>
        <w:instrText> HYPERLINK "mailto:to77-matiushenko@fas.gov.ru" </w:instrText>
      </w:r>
      <w:r>
        <w:fldChar w:fldCharType="separate"/>
      </w:r>
      <w:r>
        <w:rPr>
          <w:rStyle w:val="Hyperlink"/>
          <w:w w:val="100"/>
          <w:spacing w:val="0"/>
          <w:position w:val="0"/>
        </w:rPr>
        <w:t>to77-matiushenko@fas.gov.ru</w:t>
      </w:r>
      <w:r>
        <w:fldChar w:fldCharType="end"/>
      </w:r>
    </w:p>
    <w:sectPr>
      <w:footnotePr>
        <w:pos w:val="pageBottom"/>
        <w:numFmt w:val="decimal"/>
        <w:numRestart w:val="continuous"/>
      </w:footnotePr>
      <w:type w:val="continuous"/>
      <w:pgSz w:w="11906" w:h="16838"/>
      <w:pgMar w:top="1516" w:left="847" w:right="844" w:bottom="106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3)_"/>
    <w:basedOn w:val="DefaultParagraphFont"/>
    <w:link w:val="Style12"/>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740" w:line="322" w:lineRule="exact"/>
      <w:ind w:firstLine="4380"/>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jc w:val="both"/>
      <w:spacing w:before="3900"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