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12" w:line="260" w:lineRule="exact"/>
        <w:ind w:left="1160" w:right="0" w:firstLine="0"/>
      </w:pPr>
      <w:r>
        <w:rPr>
          <w:lang w:val="ru-RU" w:eastAsia="ru-RU" w:bidi="ru-RU"/>
          <w:w w:val="100"/>
          <w:spacing w:val="0"/>
          <w:color w:val="000000"/>
          <w:position w:val="0"/>
        </w:rPr>
        <w:t>Администрация поселения Вороновское</w:t>
      </w:r>
    </w:p>
    <w:p>
      <w:pPr>
        <w:pStyle w:val="Style3"/>
        <w:widowControl w:val="0"/>
        <w:keepNext w:val="0"/>
        <w:keepLines w:val="0"/>
        <w:shd w:val="clear" w:color="auto" w:fill="auto"/>
        <w:bidi w:val="0"/>
        <w:jc w:val="left"/>
        <w:spacing w:before="0" w:after="346" w:line="317" w:lineRule="exact"/>
        <w:ind w:left="1160" w:right="20" w:firstLine="0"/>
      </w:pPr>
      <w:r>
        <w:rPr>
          <w:lang w:val="ru-RU" w:eastAsia="ru-RU" w:bidi="ru-RU"/>
          <w:w w:val="100"/>
          <w:spacing w:val="0"/>
          <w:color w:val="000000"/>
          <w:position w:val="0"/>
        </w:rPr>
        <w:t xml:space="preserve">Вороново с., д. 31, стр. 1, г. Москва, 108830, </w:t>
      </w:r>
      <w:r>
        <w:fldChar w:fldCharType="begin"/>
      </w:r>
      <w:r>
        <w:rPr>
          <w:color w:val="000000"/>
        </w:rPr>
        <w:instrText> HYPERLINK "mailto:voronovomz@mail.ru" </w:instrText>
      </w:r>
      <w:r>
        <w:fldChar w:fldCharType="separate"/>
      </w:r>
      <w:r>
        <w:rPr>
          <w:rStyle w:val="Hyperlink"/>
          <w:lang w:val="en-US" w:eastAsia="en-US" w:bidi="en-US"/>
          <w:w w:val="100"/>
          <w:spacing w:val="0"/>
          <w:position w:val="0"/>
        </w:rPr>
        <w:t>voronovomz@mail.ru</w:t>
      </w:r>
      <w:r>
        <w:fldChar w:fldCharType="end"/>
      </w:r>
    </w:p>
    <w:p>
      <w:pPr>
        <w:pStyle w:val="Style3"/>
        <w:widowControl w:val="0"/>
        <w:keepNext w:val="0"/>
        <w:keepLines w:val="0"/>
        <w:shd w:val="clear" w:color="auto" w:fill="auto"/>
        <w:bidi w:val="0"/>
        <w:jc w:val="left"/>
        <w:spacing w:before="0" w:after="352" w:line="260" w:lineRule="exact"/>
        <w:ind w:left="1160" w:right="0" w:firstLine="0"/>
      </w:pPr>
      <w:r>
        <w:rPr>
          <w:lang w:val="ru-RU" w:eastAsia="ru-RU" w:bidi="ru-RU"/>
          <w:w w:val="100"/>
          <w:spacing w:val="0"/>
          <w:color w:val="000000"/>
          <w:position w:val="0"/>
        </w:rPr>
        <w:t>ООО «КГБ»</w:t>
      </w:r>
    </w:p>
    <w:p>
      <w:pPr>
        <w:pStyle w:val="Style3"/>
        <w:widowControl w:val="0"/>
        <w:keepNext w:val="0"/>
        <w:keepLines w:val="0"/>
        <w:shd w:val="clear" w:color="auto" w:fill="auto"/>
        <w:bidi w:val="0"/>
        <w:jc w:val="left"/>
        <w:spacing w:before="0" w:after="2" w:line="260" w:lineRule="exact"/>
        <w:ind w:left="1160" w:right="0" w:firstLine="0"/>
      </w:pPr>
      <w:r>
        <w:rPr>
          <w:lang w:val="ru-RU" w:eastAsia="ru-RU" w:bidi="ru-RU"/>
          <w:w w:val="100"/>
          <w:spacing w:val="0"/>
          <w:color w:val="000000"/>
          <w:position w:val="0"/>
        </w:rPr>
        <w:t>Волоколамское ш., д. 1, стр. 1, г.</w:t>
      </w:r>
    </w:p>
    <w:p>
      <w:pPr>
        <w:pStyle w:val="Style3"/>
        <w:widowControl w:val="0"/>
        <w:keepNext w:val="0"/>
        <w:keepLines w:val="0"/>
        <w:shd w:val="clear" w:color="auto" w:fill="auto"/>
        <w:bidi w:val="0"/>
        <w:jc w:val="left"/>
        <w:spacing w:before="0" w:after="2278" w:line="260" w:lineRule="exact"/>
        <w:ind w:left="1160" w:right="0" w:firstLine="0"/>
      </w:pPr>
      <w:r>
        <w:rPr>
          <w:lang w:val="ru-RU" w:eastAsia="ru-RU" w:bidi="ru-RU"/>
          <w:w w:val="100"/>
          <w:spacing w:val="0"/>
          <w:color w:val="000000"/>
          <w:position w:val="0"/>
        </w:rPr>
        <w:t xml:space="preserve">Москва, 125080, </w:t>
      </w:r>
      <w:r>
        <w:fldChar w:fldCharType="begin"/>
      </w:r>
      <w:r>
        <w:rPr>
          <w:color w:val="000000"/>
        </w:rPr>
        <w:instrText> HYPERLINK "mailto:info@stroyis.ru" </w:instrText>
      </w:r>
      <w:r>
        <w:fldChar w:fldCharType="separate"/>
      </w:r>
      <w:r>
        <w:rPr>
          <w:rStyle w:val="Hyperlink"/>
          <w:lang w:val="en-US" w:eastAsia="en-US" w:bidi="en-US"/>
          <w:w w:val="100"/>
          <w:spacing w:val="0"/>
          <w:position w:val="0"/>
        </w:rPr>
        <w:t>info@stroyis.ru</w:t>
      </w:r>
      <w:r>
        <w:fldChar w:fldCharType="end"/>
      </w:r>
    </w:p>
    <w:p>
      <w:pPr>
        <w:pStyle w:val="Style5"/>
        <w:tabs>
          <w:tab w:leader="none" w:pos="8545" w:val="right"/>
          <w:tab w:leader="none" w:pos="8750" w:val="left"/>
        </w:tabs>
        <w:widowControl w:val="0"/>
        <w:keepNext w:val="0"/>
        <w:keepLines w:val="0"/>
        <w:shd w:val="clear" w:color="auto" w:fill="auto"/>
        <w:bidi w:val="0"/>
        <w:jc w:val="left"/>
        <w:spacing w:before="0" w:after="0"/>
        <w:ind w:left="20" w:right="620"/>
      </w:pPr>
      <w:r>
        <w:rPr>
          <w:lang w:val="ru-RU" w:eastAsia="ru-RU" w:bidi="ru-RU"/>
          <w:w w:val="100"/>
          <w:spacing w:val="0"/>
          <w:color w:val="000000"/>
          <w:position w:val="0"/>
        </w:rPr>
        <w:t>РЕШЕНИЕ по делу № 077/06/106-2056/2021 о нарушении законодательства о контрактной системе 10.02.2021</w:t>
        <w:tab/>
        <w:t>г.</w:t>
        <w:tab/>
        <w:t>Москва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Председательствующего: 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Члена Комиссии: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3"/>
        <w:tabs>
          <w:tab w:leader="none" w:pos="591"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tabs>
          <w:tab w:leader="none" w:pos="8370"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представитель Администрация поселения Вороновское:</w:t>
        <w:tab/>
        <w:t>А.А. Хлгатян</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(дов. № б/н от 11.01.2021) участвовал в заседании Комиссии Управления посредством конференц-связи,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отсутствие представителей ООО «КГБ», о времени и порядке заседания Комиссии Управления уведомлены надлежащим образом письмом Московского УФАС России от 05.02.2021 № ЕИ/6409/21,</w:t>
      </w:r>
    </w:p>
    <w:p>
      <w:pPr>
        <w:pStyle w:val="Style3"/>
        <w:widowControl w:val="0"/>
        <w:keepNext w:val="0"/>
        <w:keepLines w:val="0"/>
        <w:shd w:val="clear" w:color="auto" w:fill="auto"/>
        <w:bidi w:val="0"/>
        <w:jc w:val="both"/>
        <w:spacing w:before="0" w:after="236" w:line="322" w:lineRule="exact"/>
        <w:ind w:left="20" w:right="0" w:firstLine="680"/>
      </w:pPr>
      <w:r>
        <w:rPr>
          <w:lang w:val="ru-RU" w:eastAsia="ru-RU" w:bidi="ru-RU"/>
          <w:w w:val="100"/>
          <w:spacing w:val="0"/>
          <w:color w:val="000000"/>
          <w:position w:val="0"/>
        </w:rPr>
        <w:t>рассмотрев жалобу ООО «КГБ» (далее — Заявитель) на действия</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000381342129</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Администрации поселения Вороновское (далее — Заказчик) при проведении электронного аукциона на право заключения государственного контракта на благоустройство территории жилой застройки в поселении Вороновское в 2021г. (Закупка № 0148300019320000036)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w:t>
      </w:r>
      <w:r>
        <w:rPr>
          <w:rStyle w:val="CharStyle9"/>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4"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ЕИ/6409/21 от 05.02.2021.</w:t>
      </w:r>
    </w:p>
    <w:p>
      <w:pPr>
        <w:pStyle w:val="Style3"/>
        <w:tabs>
          <w:tab w:leader="none" w:pos="2103" w:val="left"/>
        </w:tabs>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протоколу рассмотрения заявок на участие в электронном аукционе от 03.02.2021</w:t>
        <w:tab/>
        <w:t>№0148300019320000036-4 Заявителю, с идентификационным</w:t>
      </w:r>
    </w:p>
    <w:p>
      <w:pPr>
        <w:pStyle w:val="Style3"/>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номером заявки 115, отказано в допуске к участию в аукционе на основании предоставления недостоверных сведений о характеристиках товара, а именно: «на основании п.1 ч.4 ст.67 Закона 44-ФЗ (В п. «Урна» участник указывает «Наружный диаметр урны 300мм. Внутренний диаметр урны 400мм», что является предоставлением недостоверных сведений, т.к. внутренний диаметр не может быть больше наружного)».</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3"/>
        <w:widowControl w:val="0"/>
        <w:keepNext w:val="0"/>
        <w:keepLines w:val="0"/>
        <w:shd w:val="clear" w:color="auto" w:fill="auto"/>
        <w:bidi w:val="0"/>
        <w:jc w:val="both"/>
        <w:spacing w:before="0" w:after="0" w:line="326" w:lineRule="exact"/>
        <w:ind w:left="20" w:right="0" w:firstLine="68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Техническим заданием аукционной документации установлены требования к характеристикам необходимых товаров, в том числе по позиции «Урна: «Наружный диаметр урны: от 300* мм», «Внутренний диаметр урны: до 400* мм».</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Также инструкцией по предоставлению сведений в первой части заявки на участие в электронном аукционе о конкретных показателях установлено:</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Символ «&lt;», «до», «ниже», «менее» - означает что, участнику следует предоставить в заявке конкретный показатель, менее указанного значения (если не установлено дополнительное требование приоритетности);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Символ «&gt;», «от», «выше», «более) - означает что, участнику следует предоставить в заявке конкретный показатель, более указанного значения (если не установлено дополнительное требование приоритетности);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случае, если требуемое значение параметра сопровождается знаком * (звездочка), в том числе значение, включенное в диапазон значений, то участник вправе указать крайнее значение требуемого параметра. При этом, не допускается указание крайнего значения параметра, не сопровождающегося знаком * (звездочка).</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Комиссией Управления установлено, что в составе первой части заявки на участие в аукционе участник закупки выразил согласие на выполнение работ на условиях аукционной документации, а также представил конкретные сведения о товарах, в том числе по позиции «Урна» представлены, в частности, следующие сведения: «Наружный диаметр урны 300 мм», «Внутренний диаметр урны 400 мм».</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составе заявки Заявителя представлена недостоверная информация так как наружный диаметр урны не может быть меньше внутреннего диаметра, в то время как Заявителем в составе заявки представлены следующие показатели: «Наружный диаметр урны 300 мм», «Внутренний диаметр урны 400 мм».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вышеуказанной нормы обязанность доказывания нарушения Заказчиком, комиссией Заказчика своих прав и законных интересов лежит на подателе жалобы.</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Однако на заседание Комиссии Управления Заявитель не явился, а также в составе жалобы, Заявителем не представлено документов и сведений, свидетельствующих о нарушении аукционной комиссией Заказчика требований законодательства о контрактной системе, равно как и не представлено документов и сведений, подтверждающих достоверность указанных в первой части заявки сведений по п. «Урна».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в обоснование своих доводов Заявитель указывает на то, что аукционная документация сформирована в нарушение положений Закона о контрактной системе, в частности, что Заказчиком неправомерно сформированы требования к товарам, поставляемым при выполнении работ.</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указанный довод не может быть рассмотрен Комиссией Управления при рассмотрении жалобы на действия аукционной комиссии Заказчика, так как обжалование положений аукционной документации возможно согласно ч.4 ст.105 Закона о контрактной системе до окончания срока подачи заявок на участие в электронном аукционе, а не на этапе их рассмотрения.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в установленные сроки Заявитель не воспользовался своим правом и не обжаловал положения аукционной документации, а также не подавал Заказчику запрос о даче разъяснений положений аукционной документации в соответствии с</w:t>
      </w:r>
    </w:p>
    <w:p>
      <w:pPr>
        <w:pStyle w:val="Style3"/>
        <w:numPr>
          <w:ilvl w:val="0"/>
          <w:numId w:val="1"/>
        </w:numPr>
        <w:tabs>
          <w:tab w:leader="none" w:pos="510"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ст.65 Закона о контрактной системе, что указывает на то, что, выражая свое согласие на выполнение работ на условиях, установленных аукционной документацией при подаче заявки на участие в электронном аукционе, Заявитель был согласен со всеми установленными Заказчиком требованиями.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предложение Заявителя не соответствует требованиям аукционной документации и Закону о контрактной системе, поскольку участником закупки указаны недостоверные сведения о товаре по п. «Урна».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вышеизложенного, у Комиссии Управления отсутствуют правовые основания для признания аукционной комиссии Заказчика нарушившей требования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ч.4 ст. 67 Закона о контрактной системе участник электронного аукциона не допускается к участию в нем в случае:</w:t>
      </w:r>
    </w:p>
    <w:p>
      <w:pPr>
        <w:pStyle w:val="Style3"/>
        <w:numPr>
          <w:ilvl w:val="0"/>
          <w:numId w:val="3"/>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3"/>
        <w:numPr>
          <w:ilvl w:val="0"/>
          <w:numId w:val="3"/>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w:t>
      </w:r>
    </w:p>
    <w:p>
      <w:pPr>
        <w:pStyle w:val="Style3"/>
        <w:numPr>
          <w:ilvl w:val="0"/>
          <w:numId w:val="1"/>
        </w:numPr>
        <w:tabs>
          <w:tab w:leader="none" w:pos="531"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ст. 67 Закона о контрактной системе, не допускается.</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3"/>
        <w:widowControl w:val="0"/>
        <w:keepNext w:val="0"/>
        <w:keepLines w:val="0"/>
        <w:shd w:val="clear" w:color="auto" w:fill="auto"/>
        <w:bidi w:val="0"/>
        <w:jc w:val="both"/>
        <w:spacing w:before="0" w:after="28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0"/>
        <w:widowControl w:val="0"/>
        <w:keepNext/>
        <w:keepLines/>
        <w:shd w:val="clear" w:color="auto" w:fill="auto"/>
        <w:bidi w:val="0"/>
        <w:spacing w:before="0" w:after="299"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3"/>
        <w:numPr>
          <w:ilvl w:val="0"/>
          <w:numId w:val="5"/>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Признать жалобу ООО «КГБ» на действия аукционной комиссии Администрации поселения Вороновское необоснованной.</w:t>
      </w:r>
    </w:p>
    <w:p>
      <w:pPr>
        <w:pStyle w:val="Style3"/>
        <w:numPr>
          <w:ilvl w:val="0"/>
          <w:numId w:val="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Жалобу в части обжалования положений аукционной документации оставить без рассмотрения в соответствии ч.4 ст. 105 Закона о контрактной системе.</w:t>
      </w:r>
    </w:p>
    <w:p>
      <w:pPr>
        <w:pStyle w:val="Style3"/>
        <w:numPr>
          <w:ilvl w:val="0"/>
          <w:numId w:val="5"/>
        </w:numPr>
        <w:widowControl w:val="0"/>
        <w:keepNext w:val="0"/>
        <w:keepLines w:val="0"/>
        <w:shd w:val="clear" w:color="auto" w:fill="auto"/>
        <w:bidi w:val="0"/>
        <w:jc w:val="both"/>
        <w:spacing w:before="0" w:after="240" w:line="322" w:lineRule="exact"/>
        <w:ind w:left="0" w:right="20" w:firstLine="700"/>
      </w:pPr>
      <w:r>
        <w:rPr>
          <w:lang w:val="ru-RU" w:eastAsia="ru-RU" w:bidi="ru-RU"/>
          <w:w w:val="100"/>
          <w:spacing w:val="0"/>
          <w:color w:val="000000"/>
          <w:position w:val="0"/>
        </w:rPr>
        <w:t xml:space="preserve"> Снять ограничения на определение поставщика, наложенные письмом Московского УФАС России № ЕИ/6409/21 от 05.02.2021.</w:t>
      </w:r>
    </w:p>
    <w:p>
      <w:pPr>
        <w:pStyle w:val="Style3"/>
        <w:widowControl w:val="0"/>
        <w:keepNext w:val="0"/>
        <w:keepLines w:val="0"/>
        <w:shd w:val="clear" w:color="auto" w:fill="auto"/>
        <w:bidi w:val="0"/>
        <w:jc w:val="both"/>
        <w:spacing w:before="0" w:after="289"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3"/>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Председательствующий:</w:t>
      </w:r>
    </w:p>
    <w:p>
      <w:pPr>
        <w:pStyle w:val="Style3"/>
        <w:tabs>
          <w:tab w:leader="none" w:pos="8844" w:val="right"/>
          <w:tab w:leader="none" w:pos="10154" w:val="right"/>
        </w:tabs>
        <w:widowControl w:val="0"/>
        <w:keepNext w:val="0"/>
        <w:keepLines w:val="0"/>
        <w:shd w:val="clear" w:color="auto" w:fill="auto"/>
        <w:bidi w:val="0"/>
        <w:jc w:val="both"/>
        <w:spacing w:before="0" w:after="0" w:line="562"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3"/>
        <w:tabs>
          <w:tab w:leader="none" w:pos="10154" w:val="right"/>
          <w:tab w:leader="none" w:pos="10133" w:val="right"/>
        </w:tabs>
        <w:widowControl w:val="0"/>
        <w:keepNext w:val="0"/>
        <w:keepLines w:val="0"/>
        <w:shd w:val="clear" w:color="auto" w:fill="auto"/>
        <w:bidi w:val="0"/>
        <w:jc w:val="both"/>
        <w:spacing w:before="0" w:after="0" w:line="562" w:lineRule="exact"/>
        <w:ind w:left="0" w:right="0" w:firstLine="0"/>
      </w:pPr>
      <w:r>
        <w:rPr>
          <w:lang w:val="ru-RU" w:eastAsia="ru-RU" w:bidi="ru-RU"/>
          <w:w w:val="100"/>
          <w:spacing w:val="0"/>
          <w:color w:val="000000"/>
          <w:position w:val="0"/>
        </w:rPr>
        <w:t>Заместитель председателя Комиссии:</w:t>
        <w:tab/>
        <w:t>А.С.</w:t>
        <w:tab/>
        <w:t>Спирякова</w:t>
      </w:r>
    </w:p>
    <w:p>
      <w:pPr>
        <w:pStyle w:val="Style3"/>
        <w:tabs>
          <w:tab w:leader="none" w:pos="8640" w:val="right"/>
          <w:tab w:leader="none" w:pos="10154" w:val="right"/>
        </w:tabs>
        <w:widowControl w:val="0"/>
        <w:keepNext w:val="0"/>
        <w:keepLines w:val="0"/>
        <w:shd w:val="clear" w:color="auto" w:fill="auto"/>
        <w:bidi w:val="0"/>
        <w:jc w:val="both"/>
        <w:spacing w:before="0" w:after="2209" w:line="562" w:lineRule="exact"/>
        <w:ind w:left="0" w:right="0" w:firstLine="0"/>
      </w:pPr>
      <w:r>
        <w:rPr>
          <w:lang w:val="ru-RU" w:eastAsia="ru-RU" w:bidi="ru-RU"/>
          <w:w w:val="100"/>
          <w:spacing w:val="0"/>
          <w:color w:val="000000"/>
          <w:position w:val="0"/>
        </w:rPr>
        <w:t>Член Комиссии:</w:t>
        <w:tab/>
        <w:t>А.А.</w:t>
        <w:tab/>
        <w:t>Матюшенко</w:t>
      </w:r>
    </w:p>
    <w:p>
      <w:pPr>
        <w:pStyle w:val="Style12"/>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1188" w:left="853" w:right="838" w:bottom="10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3"/>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
    <w:basedOn w:val="CharStyle4"/>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240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192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