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numPr>
          <w:ilvl w:val="0"/>
          <w:numId w:val="1"/>
        </w:numPr>
        <w:tabs>
          <w:tab w:leader="none" w:pos="5620" w:val="left"/>
        </w:tabs>
        <w:widowControl w:val="0"/>
        <w:keepNext w:val="0"/>
        <w:keepLines w:val="0"/>
        <w:shd w:val="clear" w:color="auto" w:fill="auto"/>
        <w:bidi w:val="0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ФГБУ «Рослесинфорг»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0" w:line="322" w:lineRule="exact"/>
        <w:ind w:left="5320" w:right="6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Волгоградский пр-кт, д. 45, стр. 1, г. Москва, 109316, </w:t>
      </w:r>
      <w:r>
        <w:fldChar w:fldCharType="begin"/>
      </w:r>
      <w:r>
        <w:rPr>
          <w:color w:val="000000"/>
        </w:rPr>
        <w:instrText> HYPERLINK "mailto:zakupki_44@roslesinforg.ru"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zakupki_44@roslesinforg.ru</w:t>
      </w:r>
      <w:r>
        <w:fldChar w:fldCharType="end"/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304" w:line="322" w:lineRule="exact"/>
        <w:ind w:left="5320" w:right="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«Всероссийское добровольное пожарное общество»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6" w:line="317" w:lineRule="exact"/>
        <w:ind w:left="5320" w:right="6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Козленская, д. 94 А, г. Вологда, 160012, </w:t>
      </w:r>
      <w:r>
        <w:fldChar w:fldCharType="begin"/>
      </w:r>
      <w:r>
        <w:rPr>
          <w:color w:val="000000"/>
        </w:rPr>
        <w:instrText> HYPERLINK "mailto:torgi@vdpo35.ru"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torgi@vdpo35.ru</w:t>
      </w:r>
      <w:r>
        <w:fldChar w:fldCharType="end"/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312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ООО «РТС-тендер»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96" w:line="317" w:lineRule="exact"/>
        <w:ind w:left="5320" w:right="6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Наб. Тараса Шевченко, д. 23-А, г. Москва, 121151, </w:t>
      </w:r>
      <w:r>
        <w:fldChar w:fldCharType="begin"/>
      </w:r>
      <w:r>
        <w:rPr>
          <w:color w:val="000000"/>
        </w:rPr>
        <w:instrText> HYPERLINK "mailto:info@rts-tender.ru"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info@rts-tender.ru</w:t>
      </w:r>
      <w:r>
        <w:fldChar w:fldCharType="end"/>
      </w:r>
    </w:p>
    <w:p>
      <w:pPr>
        <w:pStyle w:val="Style5"/>
        <w:tabs>
          <w:tab w:leader="none" w:pos="11108" w:val="center"/>
          <w:tab w:leader="none" w:pos="12231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180" w:right="2420" w:firstLine="16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№077/06/106-2187/2021 о нарушении законодательства об осуществлении закупок</w:t>
      </w:r>
    </w:p>
    <w:p>
      <w:pPr>
        <w:pStyle w:val="Style5"/>
        <w:numPr>
          <w:ilvl w:val="0"/>
          <w:numId w:val="3"/>
        </w:numPr>
        <w:tabs>
          <w:tab w:leader="none" w:pos="8948" w:val="center"/>
          <w:tab w:leader="none" w:pos="10071" w:val="right"/>
          <w:tab w:leader="none" w:pos="887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02.2021</w:t>
        <w:tab/>
        <w:t>г.</w:t>
        <w:tab/>
        <w:t>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Председательствующего: Заместителя председателя Комиссии — главного государственного инспектора отдела обжалования государственных закупок Д.А. Сологова,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К.А. Сомова,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Члена Комиссии - ведущего специалиста-эксперта отдела обжалования государственных закупок А.А. Кутейникова,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6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Комиссии </w:t>
      </w:r>
      <w:r>
        <w:rPr>
          <w:rStyle w:val="CharStyle7"/>
        </w:rPr>
        <w:t>от 11.02.2021 по делу №077/06/106-2187/2021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жалобы ООО «Всероссийское добровольное пожарное общество» (далее — Заявитель) на действия ФГБУ «Рослесинфорг» (далее - Заказчик) при проведении электронного аукциона на право заключения государственного контракта на оказание услуг по техническому обслуживанию систем пожарной сигнализации и поверке огнетушителей. Филиал «Севлеспроект» ФГБУ «Рослесинфорг» (Закупка № 0373100134520001159) (далее -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000990840369</w:t>
      </w:r>
    </w:p>
    <w:p>
      <w:pPr>
        <w:pStyle w:val="Style10"/>
        <w:widowControl w:val="0"/>
        <w:keepNext/>
        <w:keepLines/>
        <w:shd w:val="clear" w:color="auto" w:fill="auto"/>
        <w:bidi w:val="0"/>
        <w:spacing w:before="0" w:after="303" w:line="26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Аукционной комиссии отменить Протокол подведения итогов электронного аукциона (далее - Протокол) и назначить новую дату рассмотрения вторых частей заявок на участие в Аукционе. При этом дата рассмотрения вторых частей заявок на участие в Аукционе должна быть назначена не ранее чем через 6 рабочих дней со дня отмены Протокола.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 уведомить участников закупки, в том числе, Заявителя, об отмене Протокола, о новой дате рассмотрения заявок на участие в Аукционе, а также о необходимости наличия на счетах для проведения операций по обеспечению участия в электронных аукционах,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Ау</w:t>
      </w:r>
      <w:r>
        <w:rPr>
          <w:rStyle w:val="CharStyle13"/>
        </w:rPr>
        <w:t>кци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онной комиссии рассмотреть вторые части заявок, поданных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rStyle w:val="CharStyle7"/>
        </w:rPr>
        <w:t>от 11.02.2021 по делу №077/06/106-2187/2021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rStyle w:val="CharStyle12"/>
        </w:rPr>
        <w:t>5.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7"/>
        </w:rPr>
        <w:t>от 11.02.2021 по делу №077/06/106-2187/2021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0" w:line="322" w:lineRule="exact"/>
        <w:ind w:left="20" w:right="20" w:firstLine="540"/>
      </w:pPr>
      <w:r>
        <w:rPr>
          <w:rStyle w:val="CharStyle12"/>
        </w:rPr>
        <w:t>б.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Заказчику, Аукционной комиссии в срок до </w:t>
      </w:r>
      <w:r>
        <w:rPr>
          <w:rStyle w:val="CharStyle7"/>
        </w:rPr>
        <w:t xml:space="preserve">15.03.2021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0" w:line="322" w:lineRule="exact"/>
        <w:ind w:left="40" w:right="2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49" w:line="322" w:lineRule="exact"/>
        <w:ind w:left="40" w:right="260" w:firstLine="5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Настоящее предписание </w:t>
      </w:r>
      <w:r>
        <w:rPr>
          <w:rStyle w:val="CharStyle7"/>
        </w:rPr>
        <w:t xml:space="preserve">от 11.02.2021 по делу №077/06/106-2187/2021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может быть обжаловано в суде, арбитражном суде в течение трех месяцев со дня его принятия в установленном законом порядке.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Председательствующий:</w:t>
      </w:r>
    </w:p>
    <w:p>
      <w:pPr>
        <w:pStyle w:val="Style3"/>
        <w:tabs>
          <w:tab w:leader="none" w:pos="8867" w:val="right"/>
          <w:tab w:leader="none" w:pos="9913" w:val="right"/>
        </w:tabs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Д.А.</w:t>
        <w:tab/>
        <w:t>Сологов</w:t>
      </w:r>
    </w:p>
    <w:p>
      <w:pPr>
        <w:pStyle w:val="Style3"/>
        <w:tabs>
          <w:tab w:leader="none" w:pos="9069" w:val="right"/>
          <w:tab w:leader="none" w:pos="9913" w:val="right"/>
        </w:tabs>
        <w:widowControl w:val="0"/>
        <w:keepNext w:val="0"/>
        <w:keepLines w:val="0"/>
        <w:shd w:val="clear" w:color="auto" w:fill="auto"/>
        <w:bidi w:val="0"/>
        <w:spacing w:before="0" w:after="0" w:line="643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</w:t>
        <w:tab/>
        <w:t>К.А.</w:t>
        <w:tab/>
        <w:t>Сомов</w:t>
      </w:r>
    </w:p>
    <w:p>
      <w:pPr>
        <w:pStyle w:val="Style3"/>
        <w:tabs>
          <w:tab w:leader="none" w:pos="8468" w:val="right"/>
          <w:tab w:leader="none" w:pos="9913" w:val="right"/>
        </w:tabs>
        <w:widowControl w:val="0"/>
        <w:keepNext w:val="0"/>
        <w:keepLines w:val="0"/>
        <w:shd w:val="clear" w:color="auto" w:fill="auto"/>
        <w:bidi w:val="0"/>
        <w:spacing w:before="0" w:after="8051" w:line="643" w:lineRule="exact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 Комиссии</w:t>
        <w:tab/>
        <w:t>А.А.</w:t>
        <w:tab/>
        <w:t>Кутейников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 Сомов К.А. 8(495)784-75-05 (077-143)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190" w:left="735" w:right="711" w:bottom="139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1"/>
      <w:numFmt w:val="decimal"/>
      <w:lvlText w:val="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1"/>
        <w:szCs w:val="21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Основной текст (2)_"/>
    <w:basedOn w:val="DefaultParagraphFont"/>
    <w:link w:val="Style5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7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9">
    <w:name w:val="Штрих-код (2)_"/>
    <w:basedOn w:val="DefaultParagraphFont"/>
    <w:link w:val="Style8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1">
    <w:name w:val="Заголовок №1_"/>
    <w:basedOn w:val="DefaultParagraphFont"/>
    <w:link w:val="Style10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+ 10,5 pt"/>
    <w:basedOn w:val="CharStyle4"/>
    <w:rPr>
      <w:lang w:val="ru-RU" w:eastAsia="ru-RU" w:bidi="ru-RU"/>
      <w:sz w:val="21"/>
      <w:szCs w:val="21"/>
      <w:w w:val="100"/>
      <w:spacing w:val="0"/>
      <w:color w:val="000000"/>
      <w:position w:val="0"/>
    </w:rPr>
  </w:style>
  <w:style w:type="character" w:customStyle="1" w:styleId="CharStyle13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 (3)_"/>
    <w:basedOn w:val="DefaultParagraphFont"/>
    <w:link w:val="Style14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both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spacing w:before="3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8">
    <w:name w:val="Штрих-код (2)"/>
    <w:basedOn w:val="Normal"/>
    <w:link w:val="CharStyle9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jc w:val="center"/>
      <w:outlineLvl w:val="0"/>
      <w:spacing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4">
    <w:name w:val="Основной текст (3)"/>
    <w:basedOn w:val="Normal"/>
    <w:link w:val="CharStyle15"/>
    <w:pPr>
      <w:widowControl w:val="0"/>
      <w:shd w:val="clear" w:color="auto" w:fill="FFFFFF"/>
      <w:jc w:val="both"/>
      <w:spacing w:before="768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