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ФГБУ «Рослесинфорг»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0" w:line="322" w:lineRule="exact"/>
        <w:ind w:left="5320" w:right="6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Волгоградский пр-кт, д. 45, стр. 1, г. Москва, 109316, </w:t>
      </w:r>
      <w:r>
        <w:fldChar w:fldCharType="begin"/>
      </w:r>
      <w:r>
        <w:rPr>
          <w:color w:val="000000"/>
        </w:rPr>
        <w:instrText> HYPERLINK "mailto:zakupki_44@roslesinforg.ru"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zakupki_44@roslesinforg.ru</w:t>
      </w:r>
      <w:r>
        <w:fldChar w:fldCharType="end"/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304" w:line="322" w:lineRule="exact"/>
        <w:ind w:left="532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ООО «Всероссийское добровольное пожарное общество»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46" w:line="317" w:lineRule="exact"/>
        <w:ind w:left="532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Козленская, д. 94 А, г. Вологда, 160012, </w:t>
      </w:r>
      <w:r>
        <w:fldChar w:fldCharType="begin"/>
      </w:r>
      <w:r>
        <w:rPr>
          <w:color w:val="000000"/>
        </w:rPr>
        <w:instrText> HYPERLINK "mailto:torgi@vdpo35.ru"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torgi@vdpo35.ru</w:t>
      </w:r>
      <w:r>
        <w:fldChar w:fldCharType="end"/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312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ООО «РТС-тендер»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93" w:line="317" w:lineRule="exact"/>
        <w:ind w:left="532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Наб. Тараса Шевченко, д. 23-А, г. Москва, 121151, </w:t>
      </w:r>
      <w:r>
        <w:fldChar w:fldCharType="begin"/>
      </w:r>
      <w:r>
        <w:rPr>
          <w:color w:val="000000"/>
        </w:rPr>
        <w:instrText> HYPERLINK "mailto:info@rts-tender.ru"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info@rts-tender.ru</w:t>
      </w:r>
      <w:r>
        <w:fldChar w:fldCharType="end"/>
      </w:r>
    </w:p>
    <w:p>
      <w:pPr>
        <w:pStyle w:val="Style7"/>
        <w:tabs>
          <w:tab w:leader="none" w:pos="12419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320" w:right="2360" w:firstLine="20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№077/06/106-2187/2021 о нарушении законодательства о контрактной системе</w:t>
      </w:r>
    </w:p>
    <w:p>
      <w:pPr>
        <w:pStyle w:val="Style7"/>
        <w:numPr>
          <w:ilvl w:val="0"/>
          <w:numId w:val="3"/>
        </w:numPr>
        <w:tabs>
          <w:tab w:leader="none" w:pos="10099" w:val="right"/>
          <w:tab w:leader="none" w:pos="913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Председательствующего: Заместителя председателя Комиссии — главного государственного инспектора отдела обжалования государственных закупок Д.А. Сологова,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главного государственного инспектора отдела обжалования государственных закупок К.А. Сомова,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Члена Комиссии - ведущего специалиста-эксперта отдела обжалования государственных закупок А.А. Кутейникова,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рассмотрение жалобы проводилось дистанционно (посредством видеоконференцсвязи) в целях исполнения Указа Мэра Москвы от 25.09.2020 №92- УМ «О внесении изменений в правовые акты города Москвы» и предупреждения распространения в городе Москве инфекции, вызванной коронавирусом 2019- </w:t>
      </w:r>
      <w:r>
        <w:rPr>
          <w:lang w:val="en-US" w:eastAsia="en-US" w:bidi="en-US"/>
          <w:w w:val="100"/>
          <w:spacing w:val="0"/>
          <w:color w:val="000000"/>
          <w:position w:val="0"/>
        </w:rPr>
        <w:t>nCoV.,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 ФГБУ «Рослесинфорг», ООО «Всероссийское добровольное пожарное общество»,</w:t>
      </w:r>
    </w:p>
    <w:p>
      <w:pPr>
        <w:pStyle w:val="Style3"/>
        <w:framePr w:w="1349" w:h="427" w:wrap="around" w:vAnchor="text" w:hAnchor="margin" w:x="356" w:y="144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001256994450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«Всероссийское добровольное пожарное общество» (далее — Заявитель) на действия ФГБУ «Рослесинфорг» (далее - Заказчик) при проведении электронного аукциона на право заключения государственного контракта на оказание услуг по техническому обслуживанию систем пожарной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57" w:line="331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сигнализации и поверке огнетушителей. Филиал «Севлеспроект» ФГБУ «Рослесинфорг» (Закупка № 0373100134520001159)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№727/14,</w:t>
      </w:r>
    </w:p>
    <w:p>
      <w:pPr>
        <w:pStyle w:val="Style9"/>
        <w:widowControl w:val="0"/>
        <w:keepNext/>
        <w:keepLines/>
        <w:shd w:val="clear" w:color="auto" w:fill="auto"/>
        <w:bidi w:val="0"/>
        <w:jc w:val="left"/>
        <w:spacing w:before="0" w:after="295" w:line="260" w:lineRule="exact"/>
        <w:ind w:left="43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аукционной комиссии Заказчика при проведении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Заказчиком представлены документы и сведения, запрашиваемые письмом Московского УФАС России №ЕИ/6810/21 от 08.02.2021.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обжалует действия аукционной комиссии Заказчика, выразившиеся в неправомерном, по мнению Заявителя, признании заявки победителя ООО «Норд-Вест и К» соответствующей требованиям аукционной документации, поскольку в составе представленной победителем лицензии отсутствует указание на возможность лицензиата в осуществлении монтажа, технического обслуживания и ремонта первичных средств пожаротушения, при этом данный вид работ предусмотрен техническим заданием.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протоколом подведения итогов электронного аукциона от</w:t>
      </w:r>
    </w:p>
    <w:p>
      <w:pPr>
        <w:pStyle w:val="Style5"/>
        <w:numPr>
          <w:ilvl w:val="0"/>
          <w:numId w:val="5"/>
        </w:numPr>
        <w:tabs>
          <w:tab w:leader="none" w:pos="145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№0373100134520001159-3 участник ООО «Норд-Вест и К» признан победителем электронной процедуры, ценовое предложение составило 32 110,00 руб.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п.2 ч.1 ст.64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ч. 3 - 6 ст. 66 Закона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извещению о проведении электронного аукциона от 30.12.2020 №0373100134520001159 объектом закупки является оказание услуг по техническому обслуживанию систем пожарной сигнализации и поверке огнетушителей, начальная (максимальная) цена контракта составляет 178 000,00 руб.</w:t>
      </w:r>
    </w:p>
    <w:p>
      <w:pPr>
        <w:pStyle w:val="Style5"/>
        <w:tabs>
          <w:tab w:leader="none" w:pos="142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п.1 ч.1 ст.31 Закона о контрактной системе при осуществлении закупки заказчик устанавливает следующие единые требования к участникам закупки:</w:t>
        <w:tab/>
        <w:t>соответствие требованиям, установленным в соответствии с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Комиссией Управления установлено, что Заказчиком в п.19 информационной карты аукционной документации предъявлено требование к участникам закупки о наличии действующей лицензии, выданной Министерством Российской Федерации по делам гражданской обороны, чрезвычайным ситуациям и ликвидации последствий стихийных бедствий на осуществление деятельности по монтажу, техническому обслуживанию и ремонту средств обеспечения пожарной безопасности зданий и сооружений, </w:t>
      </w:r>
      <w:r>
        <w:rPr>
          <w:rStyle w:val="CharStyle11"/>
        </w:rPr>
        <w:t>в состав деятельности должны входить все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1"/>
        </w:rPr>
        <w:t>виды работ, предусмотренные техническим заданием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п.2 ч.5 ст.66 Закона о контрактной системе вторая часть заявки на участие в электронном аукционе должна содержать документы, подтверждающие соответствие участника такого аукциона требованиям, установленным п.1 ч.1 ст.31 Закона о контрактной системе, или копии этих документов, а также декларация о соответствии участника такого аукциона требованиям, установленным пп.3 - 9 ч.1 ст.31 Закона о контрактной системе (указанная декларация предоставляется с использованием программно-аппаратных средств электронной площадки).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п.20 информационной карты документации Заказчиком предъявлено, в том числе, требование к составу второй части заявки о предоставлении документов, подтверждающие соответствие участника аукциона требованиям, установленным подпунктом 1 пункта 11.1 части 11 раздела I Общие требования проведения аукциона документации об аукционе и подпунктом 1 пункта 19 информационной карты или копии этих документов.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ч.1 ст.69 Закона о контрактной системе аукционная комиссия рассматривает вторые части заявок на участие в электронном аукционе и документы, направленные заказчику оператором электронной площадки в соответствии с ч.19 ст.68 Закона о контрактной системе, в части соответствия их требованиям, установленным документацией о таком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ч.2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Заказчика пояснил, что п.19 информационной карты не установлены конкретные виды работ, выполняемые в составе лицензируемого вида деятельности, что не позволило аукционной комиссии Заказчика сделать вывод о несоответствии представленной победителем лицензии требованиям документации. Кроме того, лицензия ООО «Норд-Вест и К» содержит следующие вид работ, выполняемых в составе лицензируемого вида деятельности: Монтаж, техническое обслуживание и ремонт систем пожаротушения и их элементов, включая диспетчеризацию и проведение пусконаладочных работ, что, по мнению Заказчика, подтверждает соответствие участника требованиям документации.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Управления установлено, что положениями технического задания определен перечень видов работ, подлежащих выполнения в рамках исполнения государственного контракта, согласно положениям п.24 таблицы №2 «Объем услуг и период обслуживания» которого исполнитель должен обеспечить проверку огнетушителей с 01.09. 2021 по 30.09. 2021, а также с 01.11. 2021 по 30.11. 2021.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ст.43 Федерального закона от 22.07.2008 № 123-ФЗ «Технический регламент о требованиях пожарной безопасности» огнетушители относятся к первичным средствам пожаротушения.</w:t>
      </w:r>
    </w:p>
    <w:p>
      <w:pPr>
        <w:pStyle w:val="Style5"/>
        <w:tabs>
          <w:tab w:leader="none" w:pos="3662" w:val="right"/>
          <w:tab w:leader="none" w:pos="3816" w:val="left"/>
          <w:tab w:leader="none" w:pos="7445" w:val="right"/>
          <w:tab w:leader="none" w:pos="7598" w:val="left"/>
          <w:tab w:leader="none" w:pos="1020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Монтаж,</w:t>
        <w:tab/>
        <w:t>техническое</w:t>
        <w:tab/>
        <w:t>обслуживание</w:t>
        <w:tab/>
        <w:t>и ремонт</w:t>
        <w:tab/>
        <w:t>первичных</w:t>
        <w:tab/>
        <w:t>средств</w:t>
      </w:r>
    </w:p>
    <w:p>
      <w:pPr>
        <w:pStyle w:val="Style5"/>
        <w:tabs>
          <w:tab w:leader="none" w:pos="3662" w:val="right"/>
          <w:tab w:leader="none" w:pos="3803" w:val="left"/>
          <w:tab w:leader="none" w:pos="799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пожаротушения в силу положений Постановления Правительства Российской Федерации от</w:t>
        <w:tab/>
        <w:t>28.07.2020 №</w:t>
        <w:tab/>
        <w:t>1128 «Об утверждении Положения</w:t>
        <w:tab/>
        <w:t>о лицензировании</w:t>
      </w:r>
    </w:p>
    <w:p>
      <w:pPr>
        <w:pStyle w:val="Style5"/>
        <w:tabs>
          <w:tab w:leader="none" w:pos="3662" w:val="right"/>
          <w:tab w:leader="none" w:pos="3803" w:val="left"/>
          <w:tab w:leader="none" w:pos="7445" w:val="right"/>
          <w:tab w:leader="none" w:pos="7586" w:val="left"/>
          <w:tab w:leader="none" w:pos="7960" w:val="left"/>
          <w:tab w:leader="none" w:pos="1020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деятельности</w:t>
        <w:tab/>
        <w:t>по монтажу,</w:t>
        <w:tab/>
        <w:t>техническому</w:t>
        <w:tab/>
        <w:t>обслуживанию</w:t>
        <w:tab/>
        <w:t>и</w:t>
        <w:tab/>
        <w:t>ремонту</w:t>
        <w:tab/>
        <w:t>средств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обеспечения пожарной безопасности зданий и сооружений» включены в перечень работ и услуг, составляющих деятельность по монтажу, техническому обслуживанию и ремонту средств обеспечения пожарной безопасности и сооружений, предусматривающие обязательное наличие лицензии в соответствии с положениями Федерального закона от 04.05.2011 № 99-ФЗ «О лицензировании отдельных видов деятельности».</w:t>
      </w:r>
    </w:p>
    <w:p>
      <w:pPr>
        <w:pStyle w:val="Style5"/>
        <w:tabs>
          <w:tab w:leader="none" w:pos="3662" w:val="right"/>
          <w:tab w:leader="none" w:pos="3803" w:val="left"/>
          <w:tab w:leader="none" w:pos="7445" w:val="right"/>
          <w:tab w:leader="none" w:pos="7586" w:val="left"/>
          <w:tab w:leader="none" w:pos="7960" w:val="left"/>
          <w:tab w:leader="none" w:pos="1020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Управления установлено, что ООО «Норд-Вест и К» в составе заявки представлена копия лицензии от 22.01.2013 № 2-Б/01059 на осуществление деятельности</w:t>
        <w:tab/>
        <w:t>по монтажу,</w:t>
        <w:tab/>
        <w:t>техническому</w:t>
        <w:tab/>
        <w:t>обслуживанию</w:t>
        <w:tab/>
        <w:t>и</w:t>
        <w:tab/>
        <w:t>ремонту</w:t>
        <w:tab/>
        <w:t>средств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обеспечения пожарной безопасности зданий и сооружений, вместе с тем монтаж, техническое обслуживание и ремонт первичных средств пожаротушения среди видов работ, выполняемых в составе лицензируемого вида деятельности, отсутствует, что свидетельствует о несоответствии участника закупки требования п.19 информационной карты документации.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ч.6 ст.69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>
      <w:pPr>
        <w:pStyle w:val="Style5"/>
        <w:numPr>
          <w:ilvl w:val="0"/>
          <w:numId w:val="7"/>
        </w:numPr>
        <w:tabs>
          <w:tab w:leader="none" w:pos="92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непредставления документов и информации, которые предусмотрены частью 11 статьи 24.1, частями 3 или 3.1, 5, 8.2 статьи 66 Закона о контрактной системе,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несоответствия участника такого аукциона требованиям, установленным в соответствии с ч.1, ч. 1.1 и 2 (при наличии таких требований) ст. 31 Закона о контрактной системе.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предусмотренном нормативными правовыми актами, принятыми в соответствии со ст.14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Управления приходит к выводу о том, что решение аукционной комиссии Заказчика в части признания заявки ООО «Норд-Вест и К» соответствующей требованиям аукционной документации противоречит положениям п.2 ч.6 ст.69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57" w:line="331" w:lineRule="exact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утвержденным приказом ФАС России от 19.11.2014 №727/14, Законом о контрактной системе, Комиссия Управления</w:t>
      </w:r>
    </w:p>
    <w:p>
      <w:pPr>
        <w:pStyle w:val="Style9"/>
        <w:widowControl w:val="0"/>
        <w:keepNext/>
        <w:keepLines/>
        <w:shd w:val="clear" w:color="auto" w:fill="auto"/>
        <w:bidi w:val="0"/>
        <w:jc w:val="center"/>
        <w:spacing w:before="0" w:after="300" w:line="260" w:lineRule="exact"/>
        <w:ind w:left="4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1"/>
    </w:p>
    <w:p>
      <w:pPr>
        <w:pStyle w:val="Style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31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«Всероссийское добровольное пожарное общество» на действия аукционной комиссии ФГБУ «Рослесинфорг» обоснованной.</w:t>
      </w:r>
    </w:p>
    <w:p>
      <w:pPr>
        <w:pStyle w:val="Style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31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в действиях аукционной комиссии Заказчика нарушение положений п.2 ч.6 ст.69 Закона о контрактной системе.</w:t>
      </w:r>
    </w:p>
    <w:p>
      <w:pPr>
        <w:pStyle w:val="Style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623" w:line="331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Заказчику обязательное для исполнения предписание об устранении нарушений законодательства об осуществлении закупок.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34" w:line="302" w:lineRule="exact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Председательствующий:</w:t>
      </w:r>
    </w:p>
    <w:p>
      <w:pPr>
        <w:pStyle w:val="Style5"/>
        <w:tabs>
          <w:tab w:leader="none" w:pos="9034" w:val="right"/>
          <w:tab w:leader="none" w:pos="1009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ДА.</w:t>
        <w:tab/>
        <w:t>Сологов</w:t>
      </w:r>
    </w:p>
    <w:p>
      <w:pPr>
        <w:pStyle w:val="Style5"/>
        <w:tabs>
          <w:tab w:leader="none" w:pos="8986" w:val="center"/>
          <w:tab w:leader="none" w:pos="1009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К.А.</w:t>
        <w:tab/>
        <w:t>Сомов</w:t>
      </w:r>
    </w:p>
    <w:p>
      <w:pPr>
        <w:pStyle w:val="Style5"/>
        <w:tabs>
          <w:tab w:leader="none" w:pos="8646" w:val="right"/>
          <w:tab w:leader="none" w:pos="1009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395" w:line="63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 Комиссии</w:t>
        <w:tab/>
        <w:t>А.А.</w:t>
        <w:tab/>
        <w:t>Кутейников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80" w:right="64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 Сомов К.А. 8(495)784-75-05 (077-143) </w:t>
      </w:r>
      <w:r>
        <w:rPr>
          <w:rStyle w:val="CharStyle14"/>
          <w:b w:val="0"/>
          <w:bCs w:val="0"/>
        </w:rPr>
        <w:t>2021-9109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315" w:left="850" w:right="841" w:bottom="125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1"/>
      <w:numFmt w:val="decimal"/>
      <w:lvlText w:val="11.02.%1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21"/>
      <w:numFmt w:val="decimal"/>
      <w:lvlText w:val="01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1">
    <w:name w:val="Основной текст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3">
    <w:name w:val="Основной текст (3)_"/>
    <w:basedOn w:val="DefaultParagraphFont"/>
    <w:link w:val="Style12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4">
    <w:name w:val="Основной текст (3) + 13 pt,Не полужирный"/>
    <w:basedOn w:val="CharStyle13"/>
    <w:rPr>
      <w:lang w:val="ru-RU" w:eastAsia="ru-RU" w:bidi="ru-RU"/>
      <w:b/>
      <w:bCs/>
      <w:sz w:val="26"/>
      <w:szCs w:val="26"/>
      <w:w w:val="100"/>
      <w:spacing w:val="0"/>
      <w:color w:val="000000"/>
      <w:position w:val="0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spacing w:before="300" w:line="326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FFFFFF"/>
      <w:spacing w:before="1740" w:line="1070" w:lineRule="exact"/>
      <w:ind w:hanging="180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