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0"/>
        <w:ind w:left="5300" w:right="20" w:firstLine="0"/>
      </w:pPr>
      <w:r>
        <w:rPr>
          <w:lang w:val="ru-RU" w:eastAsia="ru-RU" w:bidi="ru-RU"/>
          <w:w w:val="100"/>
          <w:spacing w:val="0"/>
          <w:color w:val="000000"/>
          <w:position w:val="0"/>
        </w:rPr>
        <w:t>ГКУ «Технический центр Департамента культуры города Москвы»</w:t>
      </w:r>
    </w:p>
    <w:p>
      <w:pPr>
        <w:pStyle w:val="Style3"/>
        <w:widowControl w:val="0"/>
        <w:keepNext w:val="0"/>
        <w:keepLines w:val="0"/>
        <w:shd w:val="clear" w:color="auto" w:fill="auto"/>
        <w:bidi w:val="0"/>
        <w:jc w:val="left"/>
        <w:spacing w:before="0" w:after="289"/>
        <w:ind w:left="5300" w:right="20" w:firstLine="0"/>
      </w:pPr>
      <w:r>
        <w:rPr>
          <w:lang w:val="ru-RU" w:eastAsia="ru-RU" w:bidi="ru-RU"/>
          <w:w w:val="100"/>
          <w:spacing w:val="0"/>
          <w:color w:val="000000"/>
          <w:position w:val="0"/>
        </w:rPr>
        <w:t xml:space="preserve">Цветной б-р., д. 30, стр. 1, эт. 5, г. Москва, 127051, </w:t>
      </w: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p>
    <w:p>
      <w:pPr>
        <w:pStyle w:val="Style3"/>
        <w:widowControl w:val="0"/>
        <w:keepNext w:val="0"/>
        <w:keepLines w:val="0"/>
        <w:shd w:val="clear" w:color="auto" w:fill="auto"/>
        <w:bidi w:val="0"/>
        <w:jc w:val="left"/>
        <w:spacing w:before="0" w:after="312" w:line="260" w:lineRule="exact"/>
        <w:ind w:left="5300" w:right="0" w:firstLine="0"/>
      </w:pPr>
      <w:r>
        <w:rPr>
          <w:lang w:val="ru-RU" w:eastAsia="ru-RU" w:bidi="ru-RU"/>
          <w:w w:val="100"/>
          <w:spacing w:val="0"/>
          <w:color w:val="000000"/>
          <w:position w:val="0"/>
        </w:rPr>
        <w:t>ООО «ИнтелРоса»</w:t>
      </w:r>
    </w:p>
    <w:p>
      <w:pPr>
        <w:pStyle w:val="Style3"/>
        <w:widowControl w:val="0"/>
        <w:keepNext w:val="0"/>
        <w:keepLines w:val="0"/>
        <w:shd w:val="clear" w:color="auto" w:fill="auto"/>
        <w:bidi w:val="0"/>
        <w:jc w:val="left"/>
        <w:spacing w:before="0" w:after="1740" w:line="317" w:lineRule="exact"/>
        <w:ind w:left="5300" w:right="20" w:firstLine="0"/>
      </w:pPr>
      <w:r>
        <w:rPr>
          <w:lang w:val="ru-RU" w:eastAsia="ru-RU" w:bidi="ru-RU"/>
          <w:w w:val="100"/>
          <w:spacing w:val="0"/>
          <w:color w:val="000000"/>
          <w:position w:val="0"/>
        </w:rPr>
        <w:t xml:space="preserve">наб. Ивана Кайдалова, д. 30, г. Сургут, 628405, </w:t>
      </w:r>
      <w:r>
        <w:fldChar w:fldCharType="begin"/>
      </w:r>
      <w:r>
        <w:rPr>
          <w:color w:val="000000"/>
        </w:rPr>
        <w:instrText> HYPERLINK "mailto:intelrosa@mail.ru" </w:instrText>
      </w:r>
      <w:r>
        <w:fldChar w:fldCharType="separate"/>
      </w:r>
      <w:r>
        <w:rPr>
          <w:rStyle w:val="Hyperlink"/>
          <w:lang w:val="en-US" w:eastAsia="en-US" w:bidi="en-US"/>
          <w:w w:val="100"/>
          <w:spacing w:val="0"/>
          <w:position w:val="0"/>
        </w:rPr>
        <w:t>intelrosa@mail.ru</w:t>
      </w:r>
      <w:r>
        <w:fldChar w:fldCharType="end"/>
      </w:r>
    </w:p>
    <w:p>
      <w:pPr>
        <w:pStyle w:val="Style5"/>
        <w:tabs>
          <w:tab w:leader="none" w:pos="12419" w:val="right"/>
        </w:tabs>
        <w:widowControl w:val="0"/>
        <w:keepNext w:val="0"/>
        <w:keepLines w:val="0"/>
        <w:shd w:val="clear" w:color="auto" w:fill="auto"/>
        <w:bidi w:val="0"/>
        <w:jc w:val="left"/>
        <w:spacing w:before="0" w:after="0"/>
        <w:ind w:left="2320" w:right="2320" w:firstLine="2040"/>
      </w:pPr>
      <w:r>
        <w:rPr>
          <w:lang w:val="ru-RU" w:eastAsia="ru-RU" w:bidi="ru-RU"/>
          <w:w w:val="100"/>
          <w:spacing w:val="0"/>
          <w:color w:val="000000"/>
          <w:position w:val="0"/>
        </w:rPr>
        <w:t>РЕШЕНИЕ по делу №077/06/106-2175/2021 о нарушении законодательства о контрактной системе</w:t>
      </w:r>
    </w:p>
    <w:p>
      <w:pPr>
        <w:pStyle w:val="Style5"/>
        <w:numPr>
          <w:ilvl w:val="0"/>
          <w:numId w:val="1"/>
        </w:numPr>
        <w:tabs>
          <w:tab w:leader="none" w:pos="10099" w:val="right"/>
          <w:tab w:leader="none" w:pos="9139"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317" w:lineRule="exact"/>
        <w:ind w:left="20" w:right="20" w:firstLine="6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6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17" w:lineRule="exact"/>
        <w:ind w:left="20" w:right="20" w:firstLine="6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3"/>
        <w:widowControl w:val="0"/>
        <w:keepNext w:val="0"/>
        <w:keepLines w:val="0"/>
        <w:shd w:val="clear" w:color="auto" w:fill="auto"/>
        <w:bidi w:val="0"/>
        <w:jc w:val="both"/>
        <w:spacing w:before="0" w:after="0" w:line="317" w:lineRule="exact"/>
        <w:ind w:left="20" w:right="20" w:firstLine="660"/>
      </w:pPr>
      <w:r>
        <w:rPr>
          <w:lang w:val="ru-RU" w:eastAsia="ru-RU" w:bidi="ru-RU"/>
          <w:w w:val="100"/>
          <w:spacing w:val="0"/>
          <w:color w:val="000000"/>
          <w:position w:val="0"/>
        </w:rPr>
        <w:t>Члена Комиссии — ведущего специалиста-эксперта отдела обжалования государственных закупок А.А. Кутеникова,</w:t>
      </w:r>
    </w:p>
    <w:p>
      <w:pPr>
        <w:pStyle w:val="Style3"/>
        <w:tabs>
          <w:tab w:leader="none" w:pos="5391" w:val="right"/>
          <w:tab w:leader="none" w:pos="6495" w:val="center"/>
          <w:tab w:leader="none" w:pos="10185" w:val="right"/>
          <w:tab w:leader="none" w:pos="10215" w:val="right"/>
        </w:tabs>
        <w:widowControl w:val="0"/>
        <w:keepNext w:val="0"/>
        <w:keepLines w:val="0"/>
        <w:shd w:val="clear" w:color="auto" w:fill="auto"/>
        <w:bidi w:val="0"/>
        <w:jc w:val="left"/>
        <w:spacing w:before="0" w:after="0" w:line="317" w:lineRule="exact"/>
        <w:ind w:left="20" w:right="20" w:firstLine="6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tab/>
        <w:t>ГКУ</w:t>
        <w:tab/>
        <w:t>«Технический</w:t>
        <w:tab/>
        <w:t>центр</w:t>
        <w:tab/>
        <w:t>Департамента</w:t>
      </w:r>
    </w:p>
    <w:p>
      <w:pPr>
        <w:pStyle w:val="Style3"/>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культуры города Москвы» и ООО «ИнтелРоса»,</w:t>
      </w:r>
    </w:p>
    <w:p>
      <w:pPr>
        <w:pStyle w:val="Style3"/>
        <w:tabs>
          <w:tab w:leader="none" w:pos="3246" w:val="left"/>
          <w:tab w:leader="none" w:pos="5564" w:val="left"/>
          <w:tab w:leader="none" w:pos="8341" w:val="right"/>
          <w:tab w:leader="none" w:pos="10185" w:val="righ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рассмотрев жалобу ООО «ИнтелРоса» (далее — Заявитель) на действия ГКУ «Технический центр Департамента культуры города Москвы» (далее-Заказчик) при проведении открытого конкурса в электронной форме на право заключения государственного</w:t>
        <w:tab/>
        <w:t>контракта</w:t>
        <w:tab/>
        <w:t>на</w:t>
        <w:tab/>
        <w:t>выполнение</w:t>
        <w:tab/>
        <w:t>работ</w:t>
      </w:r>
    </w:p>
    <w:p>
      <w:pPr>
        <w:pStyle w:val="Style3"/>
        <w:widowControl w:val="0"/>
        <w:keepNext w:val="0"/>
        <w:keepLines w:val="0"/>
        <w:shd w:val="clear" w:color="auto" w:fill="auto"/>
        <w:bidi w:val="0"/>
        <w:jc w:val="both"/>
        <w:spacing w:before="0" w:after="177" w:line="317" w:lineRule="exact"/>
        <w:ind w:left="20" w:right="20" w:firstLine="0"/>
      </w:pPr>
      <w:r>
        <w:rPr>
          <w:lang w:val="ru-RU" w:eastAsia="ru-RU" w:bidi="ru-RU"/>
          <w:w w:val="100"/>
          <w:spacing w:val="0"/>
          <w:color w:val="000000"/>
          <w:position w:val="0"/>
        </w:rPr>
        <w:t>по капитальному ремонту помещений ГБУК «МТК «Жар-птица» по адресу: г. Москва, ул. Стромынка, д. 3 (Закупка № 0373200138220000902) (далее - конкурс) в соответствии с Федеральным законом от 05.04.2013 №44-ФЗ «О контрактной</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001225019434</w:t>
      </w:r>
    </w:p>
    <w:p>
      <w:pPr>
        <w:pStyle w:val="Style3"/>
        <w:widowControl w:val="0"/>
        <w:keepNext w:val="0"/>
        <w:keepLines w:val="0"/>
        <w:shd w:val="clear" w:color="auto" w:fill="auto"/>
        <w:bidi w:val="0"/>
        <w:jc w:val="both"/>
        <w:spacing w:before="0" w:after="349"/>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0"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Московское УФАС России поступила жалоба Заявителя на Заказчика при проведении конкурса.</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от 08.02.2021 № ЕИ/6794/21.</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Согласно протоколу рассмотрения и оценки вторых частей заявок на участие в открытом конкурсе в электронной форме от 01.02.2021 №ПРОП1 вторая часть заявки ООО «ИнтелРоса» признана не соответствующей требованиям конкурсной документации на следующем основании: «На основании ч.4 ст.54.7 и ч.6 ст.45 Федерального закона № 44-ФЗ заявка Участника открытого конкурса в электронной форме не соответствует требованиям, установленным в п. 28.1 конкурсной документации и положениям Федерального закона № 44-ФЗ. Условия Банковской гарантии № 447623-ВБЦ от 20.01.2021г., представленной Участником в качестве обеспечения заявки на участие в открытом конкурсе в электронной форме, не соответствуют требованиям конкурсной документации. В соответствии с п. 28.1 конкурсной документации банковская гарантия должна в том числе содержать указание на то, что все споры по банковской гарантии подлежат рассмотрению в Арбитражном суде города Москвы. Вместе с тем, в соответствии с условиями Банковской гарантии споры и разногласия, возникающие при исполнении настоящей гарантии, разрешаются в Арбитражном суде Нижегородской области. Таким образом, содержащееся в банковской гарантии условие не соответствует требованиям конкурсной документации».</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Согласно ч.1 ст.45 Закона о контрактной системе Заказчики в качестве обеспечения заявок, исполнения контрактов, гарантийных обязательств принимают банковские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ч.1.2 ст.45 Закона о контрактной системе.</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В соответствии с ч.6 ст.45 Закона о контрактной системе основанием для отказа в принятии банковской гарантии заказчиком является:</w:t>
      </w:r>
    </w:p>
    <w:p>
      <w:pPr>
        <w:pStyle w:val="Style3"/>
        <w:numPr>
          <w:ilvl w:val="0"/>
          <w:numId w:val="3"/>
        </w:numPr>
        <w:tabs>
          <w:tab w:leader="none" w:pos="930" w:val="left"/>
        </w:tabs>
        <w:widowControl w:val="0"/>
        <w:keepNext w:val="0"/>
        <w:keepLines w:val="0"/>
        <w:shd w:val="clear" w:color="auto" w:fill="auto"/>
        <w:bidi w:val="0"/>
        <w:jc w:val="both"/>
        <w:spacing w:before="0" w:after="0" w:line="307" w:lineRule="exact"/>
        <w:ind w:left="580" w:right="0" w:firstLine="0"/>
      </w:pPr>
      <w:r>
        <w:rPr>
          <w:lang w:val="ru-RU" w:eastAsia="ru-RU" w:bidi="ru-RU"/>
          <w:w w:val="100"/>
          <w:spacing w:val="0"/>
          <w:color w:val="000000"/>
          <w:position w:val="0"/>
        </w:rPr>
        <w:t>отсутствие информации о банковской гарантии в предусмотренных ст.45</w:t>
      </w:r>
    </w:p>
    <w:p>
      <w:pPr>
        <w:pStyle w:val="Style3"/>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Закона о контрактной системе реестрах банковских гарантий;</w:t>
      </w:r>
    </w:p>
    <w:p>
      <w:pPr>
        <w:pStyle w:val="Style3"/>
        <w:numPr>
          <w:ilvl w:val="0"/>
          <w:numId w:val="3"/>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условиям, указанным в частях 2 и 3 ст.45 Закона о контрактной системе;</w:t>
      </w:r>
    </w:p>
    <w:p>
      <w:pPr>
        <w:pStyle w:val="Style3"/>
        <w:numPr>
          <w:ilvl w:val="0"/>
          <w:numId w:val="3"/>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На основании п.4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 соответствии с ч.3 ст.44 Закона о контактной системе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статьи 45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Согласно п.28.1 Конкурсной документации Банковская гарантия должна содержать указание на то, что все споры по банковской гарантии подлежат рассмотрению в Арбитражном суде города Москвы.</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На заседании Комиссии Управления установлено, что Заявителем в качестве обеспечения заявки представлена банковская гарантия №447623-ВБЦ от 20.01.2021 выданная АО «Саровбизнесбанк», содержащая следующее положение: «Споры и разногласия, возникающие при исполнении настоящей гарантии, разрешаются в Арбитражном суде Нижегородской области», что напрямую противоречит положениям конкурсной документации.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3"/>
        <w:numPr>
          <w:ilvl w:val="0"/>
          <w:numId w:val="5"/>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отсутствие информации о банковской гарантии в предусмотренных настоящей статьей реестрах банковских гарантий;</w:t>
      </w:r>
    </w:p>
    <w:p>
      <w:pPr>
        <w:pStyle w:val="Style3"/>
        <w:numPr>
          <w:ilvl w:val="0"/>
          <w:numId w:val="5"/>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условиям, указанным в частях 2 и 3 ст. 45 Закона о контрактной системе;</w:t>
      </w:r>
    </w:p>
    <w:p>
      <w:pPr>
        <w:pStyle w:val="Style3"/>
        <w:numPr>
          <w:ilvl w:val="0"/>
          <w:numId w:val="5"/>
        </w:numPr>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силу ч.4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3"/>
        <w:numPr>
          <w:ilvl w:val="0"/>
          <w:numId w:val="7"/>
        </w:numPr>
        <w:tabs>
          <w:tab w:leader="none" w:pos="1109"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 случае непредставления документов и информации, предусмотренных</w:t>
      </w:r>
    </w:p>
    <w:p>
      <w:pPr>
        <w:pStyle w:val="Style3"/>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пунктами 1 - 3, 7 части 6 статьи 54.4 Закона о контрактной</w:t>
      </w:r>
    </w:p>
    <w:p>
      <w:pPr>
        <w:pStyle w:val="Style3"/>
        <w:widowControl w:val="0"/>
        <w:keepNext w:val="0"/>
        <w:keepLines w:val="0"/>
        <w:shd w:val="clear" w:color="auto" w:fill="auto"/>
        <w:bidi w:val="0"/>
        <w:jc w:val="both"/>
        <w:spacing w:before="0" w:after="0" w:line="307" w:lineRule="exact"/>
        <w:ind w:left="20" w:right="20" w:firstLine="0"/>
      </w:pPr>
      <w:r>
        <w:rPr>
          <w:lang w:val="ru-RU" w:eastAsia="ru-RU" w:bidi="ru-RU"/>
          <w:w w:val="100"/>
          <w:spacing w:val="0"/>
          <w:color w:val="000000"/>
          <w:position w:val="0"/>
        </w:rPr>
        <w:t>системе, либо несоответствия указанных документов и информации требованиям, установленным конкурсной документацией;</w:t>
      </w:r>
    </w:p>
    <w:p>
      <w:pPr>
        <w:pStyle w:val="Style3"/>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pPr>
        <w:pStyle w:val="Style3"/>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pPr>
        <w:pStyle w:val="Style3"/>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Закона о контрактной системе;</w:t>
      </w:r>
    </w:p>
    <w:p>
      <w:pPr>
        <w:pStyle w:val="Style3"/>
        <w:numPr>
          <w:ilvl w:val="0"/>
          <w:numId w:val="7"/>
        </w:numPr>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 xml:space="preserve"> в случае непредставления документов, предусмотренных пунктом 5 части 6 статьи 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конкурсной документации и принятие конкурсной комиссией решения в части признания заявки Заявителя не соответствующей является правомерным.</w:t>
      </w:r>
    </w:p>
    <w:p>
      <w:pPr>
        <w:pStyle w:val="Style3"/>
        <w:widowControl w:val="0"/>
        <w:keepNext w:val="0"/>
        <w:keepLines w:val="0"/>
        <w:shd w:val="clear" w:color="auto" w:fill="auto"/>
        <w:bidi w:val="0"/>
        <w:jc w:val="both"/>
        <w:spacing w:before="0" w:after="338" w:line="307"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jc w:val="center"/>
        <w:spacing w:before="0" w:after="0" w:line="260" w:lineRule="exact"/>
        <w:ind w:left="0" w:right="0" w:firstLine="0"/>
      </w:pPr>
      <w:bookmarkStart w:id="1" w:name="bookmark1"/>
      <w:r>
        <w:rPr>
          <w:lang w:val="ru-RU" w:eastAsia="ru-RU" w:bidi="ru-RU"/>
          <w:w w:val="100"/>
          <w:spacing w:val="0"/>
          <w:color w:val="000000"/>
          <w:position w:val="0"/>
        </w:rPr>
        <w:t>РЕШИЛА:</w:t>
      </w:r>
      <w:bookmarkEnd w:id="1"/>
    </w:p>
    <w:p>
      <w:pPr>
        <w:pStyle w:val="Style3"/>
        <w:numPr>
          <w:ilvl w:val="0"/>
          <w:numId w:val="9"/>
        </w:numPr>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 xml:space="preserve"> Признать жалобу ООО «ИнтелРоса» на действия ГКУ «Технический центр Департамента культуры города Москвы» необоснованной.</w:t>
      </w:r>
    </w:p>
    <w:p>
      <w:pPr>
        <w:pStyle w:val="Style3"/>
        <w:numPr>
          <w:ilvl w:val="0"/>
          <w:numId w:val="9"/>
        </w:numPr>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3"/>
        <w:numPr>
          <w:ilvl w:val="0"/>
          <w:numId w:val="11"/>
        </w:numPr>
        <w:tabs>
          <w:tab w:leader="none" w:pos="1456" w:val="left"/>
        </w:tabs>
        <w:widowControl w:val="0"/>
        <w:keepNext w:val="0"/>
        <w:keepLines w:val="0"/>
        <w:shd w:val="clear" w:color="auto" w:fill="auto"/>
        <w:bidi w:val="0"/>
        <w:jc w:val="both"/>
        <w:spacing w:before="0" w:after="300" w:line="302" w:lineRule="exact"/>
        <w:ind w:left="20" w:right="0" w:firstLine="0"/>
      </w:pPr>
      <w:r>
        <w:rPr>
          <w:lang w:val="ru-RU" w:eastAsia="ru-RU" w:bidi="ru-RU"/>
          <w:w w:val="100"/>
          <w:spacing w:val="0"/>
          <w:color w:val="000000"/>
          <w:position w:val="0"/>
        </w:rPr>
        <w:t>№ ЕИ/6794/21.</w:t>
      </w:r>
    </w:p>
    <w:p>
      <w:pPr>
        <w:pStyle w:val="Style3"/>
        <w:widowControl w:val="0"/>
        <w:keepNext w:val="0"/>
        <w:keepLines w:val="0"/>
        <w:shd w:val="clear" w:color="auto" w:fill="auto"/>
        <w:bidi w:val="0"/>
        <w:jc w:val="both"/>
        <w:spacing w:before="0" w:after="334" w:line="30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Председательствующий:</w:t>
      </w:r>
    </w:p>
    <w:p>
      <w:pPr>
        <w:pStyle w:val="Style3"/>
        <w:tabs>
          <w:tab w:leader="none" w:pos="9097" w:val="right"/>
          <w:tab w:leader="none" w:pos="1016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Д.А.</w:t>
        <w:tab/>
        <w:t>Сологов</w:t>
      </w:r>
    </w:p>
    <w:p>
      <w:pPr>
        <w:pStyle w:val="Style3"/>
        <w:tabs>
          <w:tab w:leader="none" w:pos="9313" w:val="right"/>
          <w:tab w:leader="none" w:pos="1016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К.А.</w:t>
        <w:tab/>
        <w:t>Сомов</w:t>
      </w:r>
    </w:p>
    <w:p>
      <w:pPr>
        <w:pStyle w:val="Style3"/>
        <w:tabs>
          <w:tab w:leader="none" w:pos="8454" w:val="center"/>
          <w:tab w:leader="none" w:pos="1016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 комиссии:</w:t>
        <w:tab/>
        <w:t>А.А.</w:t>
        <w:tab/>
        <w:t>Кутейников</w:t>
      </w:r>
    </w:p>
    <w:p>
      <w:pPr>
        <w:pStyle w:val="Style13"/>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345" w:left="852" w:right="834" w:bottom="12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rebuchet MS" w:eastAsia="Trebuchet MS" w:hAnsi="Trebuchet MS" w:cs="Trebuchet MS"/>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Trebuchet MS,10,5 pt"/>
    <w:basedOn w:val="CharStyle4"/>
    <w:rPr>
      <w:lang w:val="ru-RU" w:eastAsia="ru-RU" w:bidi="ru-RU"/>
      <w:sz w:val="21"/>
      <w:szCs w:val="21"/>
      <w:rFonts w:ascii="Trebuchet MS" w:eastAsia="Trebuchet MS" w:hAnsi="Trebuchet MS" w:cs="Trebuchet MS"/>
      <w:w w:val="100"/>
      <w:spacing w:val="0"/>
      <w:color w:val="000000"/>
      <w:position w:val="0"/>
    </w:rPr>
  </w:style>
  <w:style w:type="character" w:customStyle="1" w:styleId="CharStyle12">
    <w:name w:val="Основной текст + Trebuchet MS,14 pt"/>
    <w:basedOn w:val="CharStyle4"/>
    <w:rPr>
      <w:lang w:val="ru-RU" w:eastAsia="ru-RU" w:bidi="ru-RU"/>
      <w:sz w:val="28"/>
      <w:szCs w:val="28"/>
      <w:rFonts w:ascii="Trebuchet MS" w:eastAsia="Trebuchet MS" w:hAnsi="Trebuchet MS" w:cs="Trebuchet MS"/>
      <w:w w:val="100"/>
      <w:spacing w:val="0"/>
      <w:color w:val="000000"/>
      <w:position w:val="0"/>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174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